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07" w:rsidRDefault="009D2794">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苏州大学绩效工资实施办法</w:t>
      </w:r>
    </w:p>
    <w:p w:rsidR="00F43A07" w:rsidRDefault="009D279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（讨论稿）</w:t>
      </w:r>
    </w:p>
    <w:p w:rsidR="00F43A07" w:rsidRDefault="009D2794">
      <w:pPr>
        <w:ind w:firstLine="6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为进一步深化绩效工资制度改革，不断完善适应高等学校特点的教职工绩效考核和绩效工资分配制度，根据江苏省人力资源和社会保障厅、财政厅《关于印发省直其他事业单位绩效工资实施办法的通知》（苏人社发〔2012〕142号）、《关于深化高校、科研院所薪酬制度改革进一步激发科技人才创新活力的实施意见》（苏人社发〔2016〕471号）、《江苏省深化高等教育领域简政放权放管结合优化服务改革实施办法》（苏教法〔2017〕14号）等文件精神，结合学校实际，特制定本实施办法。</w:t>
      </w:r>
    </w:p>
    <w:p w:rsidR="00F43A07" w:rsidRDefault="009D2794">
      <w:pPr>
        <w:ind w:firstLine="660"/>
        <w:jc w:val="left"/>
        <w:rPr>
          <w:rFonts w:ascii="黑体" w:eastAsia="黑体" w:hAnsi="黑体" w:cs="宋体"/>
          <w:kern w:val="0"/>
          <w:sz w:val="32"/>
          <w:szCs w:val="32"/>
        </w:rPr>
      </w:pPr>
      <w:r>
        <w:rPr>
          <w:rFonts w:ascii="黑体" w:eastAsia="黑体" w:hAnsi="黑体" w:cs="宋体" w:hint="eastAsia"/>
          <w:kern w:val="0"/>
          <w:sz w:val="32"/>
          <w:szCs w:val="32"/>
        </w:rPr>
        <w:t>一、指导思想</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以提高人才培养质量和科学研究水平为导向，建立以岗位绩效为核心的绩效工资制度，提高绩效考核和分配的科学化水平，发挥符合岗位特点的绩效激励与约束作用，充分调动广大教职工的积极性，促进教师队伍、管理队伍和支撑队伍三支队伍协调发展。</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黑体" w:eastAsia="黑体" w:hAnsi="黑体" w:cs="宋体" w:hint="eastAsia"/>
          <w:kern w:val="0"/>
          <w:sz w:val="32"/>
          <w:szCs w:val="32"/>
        </w:rPr>
        <w:t>二、基本原则</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（一）分类管理、兼顾公平</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在岗位聘任基础上统筹兼顾各类人员收入水平，设计</w:t>
      </w:r>
      <w:r>
        <w:rPr>
          <w:rFonts w:ascii="仿宋_GB2312" w:eastAsia="仿宋_GB2312" w:hAnsi="宋体" w:cs="宋体"/>
          <w:kern w:val="0"/>
          <w:sz w:val="32"/>
          <w:szCs w:val="32"/>
        </w:rPr>
        <w:t>科学的收入分配体系，确保分配的公平性，</w:t>
      </w:r>
      <w:r>
        <w:rPr>
          <w:rFonts w:ascii="仿宋_GB2312" w:eastAsia="仿宋_GB2312" w:hAnsi="宋体" w:cs="宋体" w:hint="eastAsia"/>
          <w:kern w:val="0"/>
          <w:sz w:val="32"/>
          <w:szCs w:val="32"/>
        </w:rPr>
        <w:t>促进教师队伍、管理队伍和支撑队伍的协调和可持续发展。</w:t>
      </w:r>
      <w:r>
        <w:rPr>
          <w:rFonts w:ascii="仿宋_GB2312" w:eastAsia="仿宋_GB2312" w:hAnsi="宋体" w:cs="宋体" w:hint="eastAsia"/>
          <w:kern w:val="0"/>
          <w:sz w:val="32"/>
          <w:szCs w:val="32"/>
        </w:rPr>
        <w:t> </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（二）</w:t>
      </w:r>
      <w:bookmarkStart w:id="0" w:name="OLE_LINK3"/>
      <w:r>
        <w:rPr>
          <w:rFonts w:ascii="仿宋_GB2312" w:eastAsia="仿宋_GB2312" w:hAnsi="宋体" w:cs="宋体" w:hint="eastAsia"/>
          <w:kern w:val="0"/>
          <w:sz w:val="32"/>
          <w:szCs w:val="32"/>
        </w:rPr>
        <w:t>以岗定薪</w:t>
      </w:r>
      <w:bookmarkEnd w:id="0"/>
      <w:r>
        <w:rPr>
          <w:rFonts w:ascii="仿宋_GB2312" w:eastAsia="仿宋_GB2312" w:hAnsi="宋体" w:cs="宋体" w:hint="eastAsia"/>
          <w:kern w:val="0"/>
          <w:sz w:val="32"/>
          <w:szCs w:val="32"/>
        </w:rPr>
        <w:t>、责薪一致</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绩效工资按教职工所聘岗位兑现，岗变薪变。科学制定与岗位职责相匹配的绩效工资标准，合理</w:t>
      </w:r>
      <w:r>
        <w:rPr>
          <w:rFonts w:ascii="仿宋_GB2312" w:eastAsia="仿宋_GB2312" w:hAnsi="宋体" w:cs="宋体"/>
          <w:kern w:val="0"/>
          <w:sz w:val="32"/>
          <w:szCs w:val="32"/>
        </w:rPr>
        <w:t>确定各级岗位</w:t>
      </w:r>
      <w:r>
        <w:rPr>
          <w:rFonts w:ascii="仿宋_GB2312" w:eastAsia="仿宋_GB2312" w:hAnsi="宋体" w:cs="宋体" w:hint="eastAsia"/>
          <w:kern w:val="0"/>
          <w:sz w:val="32"/>
          <w:szCs w:val="32"/>
        </w:rPr>
        <w:t>绩效工资标准</w:t>
      </w:r>
      <w:r>
        <w:rPr>
          <w:rFonts w:ascii="仿宋_GB2312" w:eastAsia="仿宋_GB2312" w:hAnsi="宋体" w:cs="宋体"/>
          <w:kern w:val="0"/>
          <w:sz w:val="32"/>
          <w:szCs w:val="32"/>
        </w:rPr>
        <w:t>和落差，</w:t>
      </w:r>
      <w:r>
        <w:rPr>
          <w:rFonts w:ascii="仿宋_GB2312" w:eastAsia="仿宋_GB2312" w:hAnsi="宋体" w:cs="宋体" w:hint="eastAsia"/>
          <w:kern w:val="0"/>
          <w:sz w:val="32"/>
          <w:szCs w:val="32"/>
        </w:rPr>
        <w:t>并向一线业务骨干和做出突出成绩的工作人员倾斜。</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（三）强化考核、激励导向</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建立科学的绩效考核机制，发挥绩效考核</w:t>
      </w:r>
      <w:r>
        <w:rPr>
          <w:rFonts w:ascii="仿宋_GB2312" w:eastAsia="仿宋_GB2312" w:hAnsi="宋体" w:cs="宋体"/>
          <w:kern w:val="0"/>
          <w:sz w:val="32"/>
          <w:szCs w:val="32"/>
        </w:rPr>
        <w:t>的</w:t>
      </w:r>
      <w:r>
        <w:rPr>
          <w:rFonts w:ascii="仿宋_GB2312" w:eastAsia="仿宋_GB2312" w:hAnsi="宋体" w:cs="宋体" w:hint="eastAsia"/>
          <w:kern w:val="0"/>
          <w:sz w:val="32"/>
          <w:szCs w:val="32"/>
        </w:rPr>
        <w:t>激励与约束作用，激发教师队伍的创新活力，促进管理和支撑队伍不断提高管理服务水平。</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（四）总量管理、优化结构</w:t>
      </w:r>
    </w:p>
    <w:p w:rsidR="00F43A07" w:rsidRDefault="009D2794">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在整体把握总量的基础上，进一步完善各单位分配结构比例，实行可动态调整的分配模式，并根据相关标准，将绩效总量核拨至各单位，由各单位统筹进行二次分配。</w:t>
      </w:r>
    </w:p>
    <w:p w:rsidR="00F43A07" w:rsidRDefault="009D2794">
      <w:pPr>
        <w:ind w:firstLine="640"/>
        <w:jc w:val="left"/>
        <w:rPr>
          <w:rFonts w:ascii="黑体" w:eastAsia="黑体" w:hAnsi="黑体" w:cs="Times New Roman"/>
          <w:sz w:val="32"/>
          <w:szCs w:val="32"/>
        </w:rPr>
      </w:pPr>
      <w:r>
        <w:rPr>
          <w:rFonts w:ascii="黑体" w:eastAsia="黑体" w:hAnsi="黑体" w:cs="Times New Roman" w:hint="eastAsia"/>
          <w:sz w:val="32"/>
          <w:szCs w:val="32"/>
        </w:rPr>
        <w:t>三、实施范围</w:t>
      </w:r>
    </w:p>
    <w:p w:rsidR="00F43A07" w:rsidRDefault="009D2794">
      <w:pPr>
        <w:ind w:firstLine="640"/>
        <w:jc w:val="left"/>
        <w:rPr>
          <w:rFonts w:ascii="仿宋_GB2312" w:eastAsia="仿宋_GB2312" w:hAnsi="Calibri" w:cs="Times New Roman"/>
          <w:color w:val="FF0000"/>
          <w:sz w:val="32"/>
          <w:szCs w:val="32"/>
        </w:rPr>
      </w:pPr>
      <w:r>
        <w:rPr>
          <w:rFonts w:ascii="仿宋_GB2312" w:eastAsia="仿宋_GB2312" w:hAnsi="Calibri" w:cs="Times New Roman" w:hint="eastAsia"/>
          <w:sz w:val="32"/>
          <w:szCs w:val="32"/>
        </w:rPr>
        <w:t>本办法实施范围为执行绩效工资制的事业编制和人事代理制人员。实行协议年薪</w:t>
      </w:r>
      <w:r>
        <w:rPr>
          <w:rFonts w:ascii="仿宋_GB2312" w:eastAsia="仿宋_GB2312" w:hAnsi="Calibri" w:cs="Times New Roman" w:hint="eastAsia"/>
          <w:color w:val="000000" w:themeColor="text1"/>
          <w:sz w:val="32"/>
          <w:szCs w:val="32"/>
        </w:rPr>
        <w:t>制人</w:t>
      </w:r>
      <w:r>
        <w:rPr>
          <w:rFonts w:ascii="仿宋_GB2312" w:eastAsia="仿宋_GB2312" w:hAnsi="Calibri" w:cs="Times New Roman" w:hint="eastAsia"/>
          <w:sz w:val="32"/>
          <w:szCs w:val="32"/>
        </w:rPr>
        <w:t>员可继续按聘用协议的约定执行，也可申请纳入本办法实施范围。</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附属医院校编人员纳入附属医院绩效工资实施范围。独立学院、出版社、教服集团以及其他经济独立核算单位的校编人员由所在单位根据其单位性质和自身特点，自行设计薪酬制度。</w:t>
      </w:r>
    </w:p>
    <w:p w:rsidR="00F43A07" w:rsidRDefault="009D2794">
      <w:pPr>
        <w:jc w:val="left"/>
        <w:rPr>
          <w:rFonts w:ascii="黑体" w:eastAsia="黑体" w:hAnsi="黑体" w:cs="Times New Roman"/>
          <w:sz w:val="32"/>
          <w:szCs w:val="32"/>
        </w:rPr>
      </w:pPr>
      <w:r>
        <w:rPr>
          <w:rFonts w:ascii="黑体" w:eastAsia="黑体" w:hAnsi="黑体" w:cs="Times New Roman"/>
          <w:sz w:val="32"/>
          <w:szCs w:val="32"/>
        </w:rPr>
        <w:t xml:space="preserve">    四、组织机构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 xml:space="preserve">    绩效工资实施工作在学校统一领导下开展，成立学校、学院（部）和</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两级组织机构。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（一）学校绩效工资实施工作领导小组制定绩效工资具体实施办法，经学校教职工代表大会审议通过后组织实施。</w:t>
      </w:r>
    </w:p>
    <w:p w:rsidR="00F43A07" w:rsidRDefault="009D2794">
      <w:pPr>
        <w:ind w:firstLine="660"/>
        <w:jc w:val="left"/>
        <w:rPr>
          <w:rFonts w:ascii="仿宋_GB2312" w:eastAsia="仿宋_GB2312" w:hAnsi="Calibri" w:cs="Times New Roman"/>
          <w:sz w:val="32"/>
          <w:szCs w:val="32"/>
        </w:rPr>
      </w:pPr>
      <w:r>
        <w:rPr>
          <w:rFonts w:ascii="仿宋_GB2312" w:eastAsia="仿宋_GB2312" w:hAnsi="Calibri" w:cs="Times New Roman" w:hint="eastAsia"/>
          <w:sz w:val="32"/>
          <w:szCs w:val="32"/>
        </w:rPr>
        <w:t>（二）各学院（部）、科研</w:t>
      </w:r>
      <w:r>
        <w:rPr>
          <w:rFonts w:ascii="仿宋_GB2312" w:eastAsia="仿宋_GB2312" w:hAnsi="Calibri" w:cs="Times New Roman"/>
          <w:sz w:val="32"/>
          <w:szCs w:val="32"/>
        </w:rPr>
        <w:t>单位</w:t>
      </w:r>
      <w:r>
        <w:rPr>
          <w:rFonts w:ascii="仿宋_GB2312" w:eastAsia="仿宋_GB2312" w:hAnsi="Calibri" w:cs="Times New Roman" w:hint="eastAsia"/>
          <w:sz w:val="32"/>
          <w:szCs w:val="32"/>
        </w:rPr>
        <w:t>绩效工资实施工作小组负责本单位绩效工资实施工作，本单位绩效工资具体实施方案，由各学院（部）、</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党（工）委委员会议研究，</w:t>
      </w:r>
      <w:r>
        <w:rPr>
          <w:rFonts w:ascii="仿宋_GB2312" w:eastAsia="仿宋_GB2312" w:hAnsi="Calibri" w:cs="Times New Roman"/>
          <w:sz w:val="32"/>
          <w:szCs w:val="32"/>
        </w:rPr>
        <w:t>经</w:t>
      </w:r>
      <w:r>
        <w:rPr>
          <w:rFonts w:ascii="仿宋_GB2312" w:eastAsia="仿宋_GB2312" w:hAnsi="Calibri" w:cs="Times New Roman" w:hint="eastAsia"/>
          <w:sz w:val="32"/>
          <w:szCs w:val="32"/>
        </w:rPr>
        <w:t>党政联席会议讨论，提交本单位教职工代表大会审议通过，并报学校绩效工资实施工作领导小组批准后组织实施。</w:t>
      </w:r>
    </w:p>
    <w:p w:rsidR="00F43A07" w:rsidRDefault="009D2794">
      <w:pPr>
        <w:jc w:val="left"/>
        <w:rPr>
          <w:rFonts w:ascii="黑体" w:eastAsia="黑体" w:hAnsi="黑体" w:cs="Times New Roman"/>
          <w:sz w:val="32"/>
          <w:szCs w:val="32"/>
        </w:rPr>
      </w:pPr>
      <w:r>
        <w:rPr>
          <w:rFonts w:ascii="黑体" w:eastAsia="黑体" w:hAnsi="黑体" w:cs="Times New Roman" w:hint="eastAsia"/>
          <w:sz w:val="32"/>
          <w:szCs w:val="32"/>
        </w:rPr>
        <w:t xml:space="preserve">    五、绩效工资总量</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学校每年度绩效工资总量由上级主管部门在综合考虑单位类别、人员结构、岗位设置、事业发展、经费来源以及绩效考核等多种因素的基础上进行核定。学校在核定的绩效工资总量范围内进行绩效工资分配。</w:t>
      </w:r>
    </w:p>
    <w:p w:rsidR="00F43A07" w:rsidRDefault="009D2794">
      <w:pPr>
        <w:jc w:val="left"/>
        <w:rPr>
          <w:rFonts w:ascii="黑体" w:eastAsia="黑体" w:hAnsi="黑体" w:cs="Times New Roman"/>
          <w:sz w:val="32"/>
          <w:szCs w:val="32"/>
        </w:rPr>
      </w:pPr>
      <w:r>
        <w:rPr>
          <w:rFonts w:ascii="黑体" w:eastAsia="黑体" w:hAnsi="黑体" w:cs="Times New Roman" w:hint="eastAsia"/>
          <w:sz w:val="32"/>
          <w:szCs w:val="32"/>
        </w:rPr>
        <w:t xml:space="preserve">    六、绩效工资分配</w:t>
      </w:r>
    </w:p>
    <w:p w:rsidR="00F43A07" w:rsidRDefault="009D2794">
      <w:pPr>
        <w:ind w:firstLine="645"/>
        <w:jc w:val="left"/>
        <w:rPr>
          <w:rFonts w:ascii="仿宋_GB2312" w:eastAsia="仿宋_GB2312" w:hAnsi="Calibri" w:cs="Times New Roman"/>
          <w:sz w:val="32"/>
          <w:szCs w:val="32"/>
        </w:rPr>
      </w:pPr>
      <w:r>
        <w:rPr>
          <w:rFonts w:ascii="仿宋_GB2312" w:eastAsia="仿宋_GB2312" w:hAnsi="Calibri" w:cs="Times New Roman" w:hint="eastAsia"/>
          <w:sz w:val="32"/>
          <w:szCs w:val="32"/>
        </w:rPr>
        <w:t>绩效工资分为基础性绩效工资和奖励性绩效工资两部分。</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（一）基础性绩效工资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1. 基础性绩效工资由生活补贴和岗位津贴两个项目组成。生活补贴主要体现经济发展水平、物价水平等因素，不同岗位执行统一标准。岗位津贴主要体现工作人员所聘岗位、工作年限等因素，适当拉开差距合理确定。基础性绩效工资</w:t>
      </w:r>
      <w:r>
        <w:rPr>
          <w:rFonts w:ascii="仿宋_GB2312" w:eastAsia="仿宋_GB2312" w:hAnsi="Calibri" w:cs="Times New Roman" w:hint="eastAsia"/>
          <w:sz w:val="32"/>
          <w:szCs w:val="32"/>
        </w:rPr>
        <w:lastRenderedPageBreak/>
        <w:t>按照属地原则，执行苏州市其他事业单位工作人员基础性绩效工资标准（详见附件1）。</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 教职工按江苏省岗位设置聘用的岗位发放基础性绩效工资。对符合江苏省岗位设置规定，同时受聘管理岗位和专业技术岗位的“双肩挑”人员和专职辅导员，按“就高”原则发放基础性绩效工资。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（二）奖励性绩效工资</w:t>
      </w:r>
    </w:p>
    <w:p w:rsidR="00F43A07" w:rsidRDefault="009D2794">
      <w:pPr>
        <w:ind w:firstLine="660"/>
        <w:jc w:val="left"/>
        <w:rPr>
          <w:rFonts w:ascii="仿宋_GB2312" w:eastAsia="仿宋_GB2312" w:hAnsi="Calibri" w:cs="Times New Roman"/>
          <w:sz w:val="32"/>
          <w:szCs w:val="32"/>
        </w:rPr>
      </w:pPr>
      <w:r>
        <w:rPr>
          <w:rFonts w:ascii="仿宋_GB2312" w:eastAsia="仿宋_GB2312" w:hAnsi="Calibri" w:cs="Times New Roman" w:hint="eastAsia"/>
          <w:sz w:val="32"/>
          <w:szCs w:val="32"/>
        </w:rPr>
        <w:t>学校在上级主管部门核定的绩效工资总量内（扣除基础性绩效工资总量），实施奖励性绩效工资分配。奖励性</w:t>
      </w:r>
      <w:r>
        <w:rPr>
          <w:rFonts w:ascii="仿宋_GB2312" w:eastAsia="仿宋_GB2312" w:hAnsi="Calibri" w:cs="Times New Roman"/>
          <w:sz w:val="32"/>
          <w:szCs w:val="32"/>
        </w:rPr>
        <w:t>绩效</w:t>
      </w:r>
      <w:r>
        <w:rPr>
          <w:rFonts w:ascii="仿宋_GB2312" w:eastAsia="仿宋_GB2312" w:hAnsi="Calibri" w:cs="Times New Roman" w:hint="eastAsia"/>
          <w:sz w:val="32"/>
          <w:szCs w:val="32"/>
        </w:rPr>
        <w:t>工资由下述岗位绩效和学校相关职能部门设立的</w:t>
      </w:r>
      <w:r>
        <w:rPr>
          <w:rFonts w:ascii="仿宋_GB2312" w:eastAsia="仿宋_GB2312" w:hAnsi="Calibri" w:cs="Times New Roman"/>
          <w:sz w:val="32"/>
          <w:szCs w:val="32"/>
        </w:rPr>
        <w:t>各类</w:t>
      </w:r>
      <w:r>
        <w:rPr>
          <w:rFonts w:ascii="仿宋_GB2312" w:eastAsia="仿宋_GB2312" w:hAnsi="Calibri" w:cs="Times New Roman" w:hint="eastAsia"/>
          <w:sz w:val="32"/>
          <w:szCs w:val="32"/>
        </w:rPr>
        <w:t>奖励组成。</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1．学院（部）、</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的岗位绩效</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（1）岗位绩效经费来源</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学院（部）、</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岗位绩效经费来源主要由学校核拨的</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总量和社会服务收益两部分组成。</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①学校核拨的</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学校根据学院（部）、</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教学科研、其他专技、党政管理、工勤技能等岗位设置数、岗位系数及标准计算岗位绩效总量，并在每年年底，根据学院（部）、</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考核结果和相应分配模式打包核拨给学院（部）（各类岗位绩效系数详见附件2）。</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②社会服务收益</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 xml:space="preserve">　　学院（部）、</w:t>
      </w:r>
      <w:r>
        <w:rPr>
          <w:rFonts w:ascii="仿宋_GB2312" w:eastAsia="仿宋_GB2312" w:hAnsi="Calibri" w:cs="Times New Roman"/>
          <w:sz w:val="32"/>
          <w:szCs w:val="32"/>
        </w:rPr>
        <w:t>科研单位</w:t>
      </w:r>
      <w:r>
        <w:rPr>
          <w:rFonts w:ascii="仿宋_GB2312" w:eastAsia="仿宋_GB2312" w:hAnsi="Calibri" w:cs="Times New Roman" w:hint="eastAsia"/>
          <w:sz w:val="32"/>
          <w:szCs w:val="32"/>
        </w:rPr>
        <w:t>的社会服务收益是指本单位参与社会服务活动后，按学校社会服务管理和收益分配办法划归本单位的收益部分（相关</w:t>
      </w:r>
      <w:r>
        <w:rPr>
          <w:rFonts w:ascii="仿宋_GB2312" w:eastAsia="仿宋_GB2312" w:hAnsi="Calibri" w:cs="Times New Roman"/>
          <w:sz w:val="32"/>
          <w:szCs w:val="32"/>
        </w:rPr>
        <w:t>管理办法</w:t>
      </w:r>
      <w:r>
        <w:rPr>
          <w:rFonts w:ascii="仿宋_GB2312" w:eastAsia="仿宋_GB2312" w:hAnsi="Calibri" w:cs="Times New Roman" w:hint="eastAsia"/>
          <w:sz w:val="32"/>
          <w:szCs w:val="32"/>
        </w:rPr>
        <w:t>由财务处另行</w:t>
      </w:r>
      <w:r>
        <w:rPr>
          <w:rFonts w:ascii="仿宋_GB2312" w:eastAsia="仿宋_GB2312" w:hAnsi="Calibri" w:cs="Times New Roman"/>
          <w:sz w:val="32"/>
          <w:szCs w:val="32"/>
        </w:rPr>
        <w:t>制定</w:t>
      </w:r>
      <w:r>
        <w:rPr>
          <w:rFonts w:ascii="仿宋_GB2312" w:eastAsia="仿宋_GB2312" w:hAnsi="Calibri" w:cs="Times New Roman" w:hint="eastAsia"/>
          <w:sz w:val="32"/>
          <w:szCs w:val="32"/>
        </w:rPr>
        <w:t>）。</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总量核拨模式</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①</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总量核拨模式分为一级分配和二级分配两种。</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各学院（部）、</w:t>
      </w:r>
      <w:r>
        <w:rPr>
          <w:rFonts w:ascii="仿宋_GB2312" w:eastAsia="仿宋_GB2312" w:hAnsi="Calibri" w:cs="Times New Roman"/>
          <w:sz w:val="32"/>
          <w:szCs w:val="32"/>
        </w:rPr>
        <w:t>科研</w:t>
      </w:r>
      <w:r>
        <w:rPr>
          <w:rFonts w:ascii="仿宋_GB2312" w:eastAsia="仿宋_GB2312" w:hAnsi="Calibri" w:cs="Times New Roman" w:hint="eastAsia"/>
          <w:sz w:val="32"/>
          <w:szCs w:val="32"/>
        </w:rPr>
        <w:t>单位结合本单位实际状况，可在当年年底选择下一年度的分配模式。本办法开始施行的前两年</w:t>
      </w:r>
      <w:r w:rsidR="00357BE0">
        <w:rPr>
          <w:rFonts w:ascii="仿宋_GB2312" w:eastAsia="仿宋_GB2312" w:hAnsi="Calibri" w:cs="Times New Roman" w:hint="eastAsia"/>
          <w:sz w:val="32"/>
          <w:szCs w:val="32"/>
        </w:rPr>
        <w:t>,</w:t>
      </w:r>
      <w:r>
        <w:rPr>
          <w:rFonts w:ascii="仿宋_GB2312" w:eastAsia="仿宋_GB2312" w:hAnsi="Calibri" w:cs="Times New Roman" w:hint="eastAsia"/>
          <w:sz w:val="32"/>
          <w:szCs w:val="32"/>
        </w:rPr>
        <w:t>每年可选择一次，第三年起，每三年选择一次。</w:t>
      </w:r>
    </w:p>
    <w:p w:rsidR="00F43A07" w:rsidRDefault="009D2794">
      <w:pPr>
        <w:ind w:firstLine="660"/>
        <w:jc w:val="left"/>
        <w:rPr>
          <w:rFonts w:ascii="仿宋_GB2312" w:eastAsia="仿宋_GB2312" w:hAnsi="Calibri" w:cs="Times New Roman"/>
          <w:sz w:val="32"/>
          <w:szCs w:val="32"/>
        </w:rPr>
      </w:pPr>
      <w:r>
        <w:rPr>
          <w:rFonts w:ascii="仿宋_GB2312" w:eastAsia="仿宋_GB2312" w:hAnsi="Calibri" w:cs="Times New Roman" w:hint="eastAsia"/>
          <w:sz w:val="32"/>
          <w:szCs w:val="32"/>
        </w:rPr>
        <w:t>一级分配：学校全额承担学院（部）、</w:t>
      </w:r>
      <w:r>
        <w:rPr>
          <w:rFonts w:ascii="仿宋_GB2312" w:eastAsia="仿宋_GB2312" w:hAnsi="Calibri" w:cs="Times New Roman"/>
          <w:sz w:val="32"/>
          <w:szCs w:val="32"/>
        </w:rPr>
        <w:t>科研</w:t>
      </w:r>
      <w:r>
        <w:rPr>
          <w:rFonts w:ascii="仿宋_GB2312" w:eastAsia="仿宋_GB2312" w:hAnsi="Calibri" w:cs="Times New Roman" w:hint="eastAsia"/>
          <w:sz w:val="32"/>
          <w:szCs w:val="32"/>
        </w:rPr>
        <w:t>单位的</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总量，同时本单位社会服务收益不得用于奖励性绩效工资发放。</w:t>
      </w:r>
    </w:p>
    <w:p w:rsidR="00F43A07" w:rsidRDefault="009D2794">
      <w:pPr>
        <w:ind w:firstLine="660"/>
        <w:jc w:val="left"/>
        <w:rPr>
          <w:rFonts w:ascii="仿宋_GB2312" w:eastAsia="仿宋_GB2312" w:hAnsi="Calibri" w:cs="Times New Roman"/>
          <w:sz w:val="32"/>
          <w:szCs w:val="32"/>
        </w:rPr>
      </w:pPr>
      <w:r>
        <w:rPr>
          <w:rFonts w:ascii="仿宋_GB2312" w:eastAsia="仿宋_GB2312" w:hAnsi="Calibri" w:cs="Times New Roman" w:hint="eastAsia"/>
          <w:sz w:val="32"/>
          <w:szCs w:val="32"/>
        </w:rPr>
        <w:t>二级分配：学校根据一定比例承担学院（部）、</w:t>
      </w:r>
      <w:r>
        <w:rPr>
          <w:rFonts w:ascii="仿宋_GB2312" w:eastAsia="仿宋_GB2312" w:hAnsi="Calibri" w:cs="Times New Roman"/>
          <w:sz w:val="32"/>
          <w:szCs w:val="32"/>
        </w:rPr>
        <w:t>科研</w:t>
      </w:r>
      <w:r>
        <w:rPr>
          <w:rFonts w:ascii="仿宋_GB2312" w:eastAsia="仿宋_GB2312" w:hAnsi="Calibri" w:cs="Times New Roman" w:hint="eastAsia"/>
          <w:sz w:val="32"/>
          <w:szCs w:val="32"/>
        </w:rPr>
        <w:t>单位的</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总量，其余部分从本单位社会服务收益中补足。</w:t>
      </w:r>
    </w:p>
    <w:p w:rsidR="00F43A07" w:rsidRDefault="009D2794">
      <w:pPr>
        <w:ind w:firstLine="660"/>
        <w:jc w:val="left"/>
        <w:rPr>
          <w:rFonts w:ascii="仿宋_GB2312" w:eastAsia="仿宋_GB2312" w:hAnsi="Calibri" w:cs="Times New Roman"/>
          <w:sz w:val="32"/>
          <w:szCs w:val="32"/>
        </w:rPr>
      </w:pPr>
      <w:r>
        <w:rPr>
          <w:rFonts w:ascii="仿宋_GB2312" w:eastAsia="仿宋_GB2312" w:hAnsi="Calibri" w:cs="Times New Roman" w:hint="eastAsia"/>
          <w:sz w:val="32"/>
          <w:szCs w:val="32"/>
        </w:rPr>
        <w:t>②学校核拨的</w:t>
      </w:r>
      <w:r>
        <w:rPr>
          <w:rFonts w:ascii="仿宋_GB2312" w:eastAsia="仿宋_GB2312" w:hAnsi="Calibri" w:cs="Times New Roman" w:hint="eastAsia"/>
          <w:color w:val="000000" w:themeColor="text1"/>
          <w:sz w:val="32"/>
          <w:szCs w:val="32"/>
        </w:rPr>
        <w:t>岗位绩效</w:t>
      </w:r>
      <w:r>
        <w:rPr>
          <w:rFonts w:ascii="仿宋_GB2312" w:eastAsia="仿宋_GB2312" w:hAnsi="Calibri" w:cs="Times New Roman" w:hint="eastAsia"/>
          <w:sz w:val="32"/>
          <w:szCs w:val="32"/>
        </w:rPr>
        <w:t>总量与学院（部）、</w:t>
      </w:r>
      <w:r>
        <w:rPr>
          <w:rFonts w:ascii="仿宋_GB2312" w:eastAsia="仿宋_GB2312" w:hAnsi="Calibri" w:cs="Times New Roman"/>
          <w:sz w:val="32"/>
          <w:szCs w:val="32"/>
        </w:rPr>
        <w:t>科研</w:t>
      </w:r>
      <w:r>
        <w:rPr>
          <w:rFonts w:ascii="仿宋_GB2312" w:eastAsia="仿宋_GB2312" w:hAnsi="Calibri" w:cs="Times New Roman" w:hint="eastAsia"/>
          <w:sz w:val="32"/>
          <w:szCs w:val="32"/>
        </w:rPr>
        <w:t>单位考核挂钩</w:t>
      </w:r>
      <w:r w:rsidR="00357BE0">
        <w:rPr>
          <w:rFonts w:ascii="仿宋_GB2312" w:eastAsia="仿宋_GB2312" w:hAnsi="Calibri" w:cs="Times New Roman" w:hint="eastAsia"/>
          <w:sz w:val="32"/>
          <w:szCs w:val="32"/>
        </w:rPr>
        <w:t>。</w:t>
      </w:r>
      <w:bookmarkStart w:id="1" w:name="_GoBack"/>
      <w:bookmarkEnd w:id="1"/>
    </w:p>
    <w:p w:rsidR="00F43A07" w:rsidRDefault="009D2794">
      <w:pPr>
        <w:widowControl/>
        <w:snapToGrid w:val="0"/>
        <w:spacing w:line="360" w:lineRule="auto"/>
        <w:ind w:firstLineChars="190" w:firstLine="608"/>
        <w:jc w:val="left"/>
        <w:rPr>
          <w:rFonts w:ascii="仿宋_GB2312" w:eastAsia="仿宋_GB2312" w:hAnsi="仿宋" w:cs="Tahoma"/>
          <w:kern w:val="0"/>
          <w:sz w:val="32"/>
          <w:szCs w:val="32"/>
        </w:rPr>
      </w:pPr>
      <w:r>
        <w:rPr>
          <w:rFonts w:ascii="仿宋_GB2312" w:eastAsia="仿宋_GB2312" w:hAnsi="仿宋" w:cs="Tahoma" w:hint="eastAsia"/>
          <w:kern w:val="0"/>
          <w:sz w:val="32"/>
          <w:szCs w:val="32"/>
        </w:rPr>
        <w:t>学校对</w:t>
      </w:r>
      <w:r>
        <w:rPr>
          <w:rFonts w:ascii="仿宋_GB2312" w:eastAsia="仿宋_GB2312" w:hAnsi="Calibri" w:cs="Times New Roman" w:hint="eastAsia"/>
          <w:sz w:val="32"/>
          <w:szCs w:val="32"/>
        </w:rPr>
        <w:t>学院（部）、</w:t>
      </w:r>
      <w:r>
        <w:rPr>
          <w:rFonts w:ascii="仿宋_GB2312" w:eastAsia="仿宋_GB2312" w:hAnsi="Calibri" w:cs="Times New Roman"/>
          <w:sz w:val="32"/>
          <w:szCs w:val="32"/>
        </w:rPr>
        <w:t>科研</w:t>
      </w:r>
      <w:r>
        <w:rPr>
          <w:rFonts w:ascii="仿宋_GB2312" w:eastAsia="仿宋_GB2312" w:hAnsi="Calibri" w:cs="Times New Roman" w:hint="eastAsia"/>
          <w:sz w:val="32"/>
          <w:szCs w:val="32"/>
        </w:rPr>
        <w:t>单位</w:t>
      </w:r>
      <w:r>
        <w:rPr>
          <w:rFonts w:ascii="仿宋_GB2312" w:eastAsia="仿宋_GB2312" w:hAnsi="仿宋" w:cs="Tahoma" w:hint="eastAsia"/>
          <w:kern w:val="0"/>
          <w:sz w:val="32"/>
          <w:szCs w:val="32"/>
        </w:rPr>
        <w:t>整体履行职责情况进行考核，考核结果作为学校计算各单位</w:t>
      </w:r>
      <w:r>
        <w:rPr>
          <w:rFonts w:ascii="仿宋_GB2312" w:eastAsia="仿宋_GB2312" w:hAnsi="Calibri" w:cs="Times New Roman" w:hint="eastAsia"/>
          <w:color w:val="000000" w:themeColor="text1"/>
          <w:sz w:val="32"/>
          <w:szCs w:val="32"/>
        </w:rPr>
        <w:t>岗位</w:t>
      </w:r>
      <w:r>
        <w:rPr>
          <w:rFonts w:ascii="仿宋_GB2312" w:eastAsia="仿宋_GB2312" w:hAnsi="仿宋" w:cs="Tahoma" w:hint="eastAsia"/>
          <w:color w:val="000000" w:themeColor="text1"/>
          <w:kern w:val="0"/>
          <w:sz w:val="32"/>
          <w:szCs w:val="32"/>
        </w:rPr>
        <w:t>绩效</w:t>
      </w:r>
      <w:r>
        <w:rPr>
          <w:rFonts w:ascii="仿宋_GB2312" w:eastAsia="仿宋_GB2312" w:hAnsi="仿宋" w:cs="Tahoma" w:hint="eastAsia"/>
          <w:kern w:val="0"/>
          <w:sz w:val="32"/>
          <w:szCs w:val="32"/>
        </w:rPr>
        <w:t>总量的依据，相关考核办法详见《苏州大学教师岗位供给侧结构性改革实施办法》。</w:t>
      </w:r>
    </w:p>
    <w:p w:rsidR="00F43A07" w:rsidRDefault="009D2794">
      <w:pPr>
        <w:widowControl/>
        <w:snapToGrid w:val="0"/>
        <w:spacing w:line="360" w:lineRule="auto"/>
        <w:ind w:firstLineChars="190" w:firstLine="608"/>
        <w:jc w:val="left"/>
        <w:rPr>
          <w:rFonts w:ascii="仿宋_GB2312" w:eastAsia="仿宋_GB2312" w:hAnsi="仿宋" w:cs="Tahoma"/>
          <w:color w:val="000000" w:themeColor="text1"/>
          <w:kern w:val="0"/>
          <w:sz w:val="32"/>
          <w:szCs w:val="32"/>
        </w:rPr>
      </w:pPr>
      <w:r>
        <w:rPr>
          <w:rFonts w:ascii="仿宋_GB2312" w:eastAsia="仿宋_GB2312" w:hAnsi="仿宋" w:cs="Tahoma" w:hint="eastAsia"/>
          <w:kern w:val="0"/>
          <w:sz w:val="32"/>
          <w:szCs w:val="32"/>
        </w:rPr>
        <w:lastRenderedPageBreak/>
        <w:t>一级分配：考核结果优秀的，按</w:t>
      </w:r>
      <w:r>
        <w:rPr>
          <w:rFonts w:ascii="仿宋_GB2312" w:eastAsia="仿宋_GB2312" w:hAnsi="仿宋" w:cs="Tahoma"/>
          <w:kern w:val="0"/>
          <w:sz w:val="32"/>
          <w:szCs w:val="32"/>
        </w:rPr>
        <w:t>110%计算</w:t>
      </w:r>
      <w:r>
        <w:rPr>
          <w:rFonts w:ascii="仿宋_GB2312" w:eastAsia="仿宋_GB2312" w:hAnsi="Calibri" w:cs="Times New Roman" w:hint="eastAsia"/>
          <w:color w:val="000000" w:themeColor="text1"/>
          <w:sz w:val="32"/>
          <w:szCs w:val="32"/>
        </w:rPr>
        <w:t>岗位</w:t>
      </w:r>
      <w:r>
        <w:rPr>
          <w:rFonts w:ascii="仿宋_GB2312" w:eastAsia="仿宋_GB2312" w:hAnsi="仿宋" w:cs="Tahoma" w:hint="eastAsia"/>
          <w:color w:val="000000" w:themeColor="text1"/>
          <w:kern w:val="0"/>
          <w:sz w:val="32"/>
          <w:szCs w:val="32"/>
        </w:rPr>
        <w:t>绩效总量；考核结果合格的，按</w:t>
      </w:r>
      <w:r>
        <w:rPr>
          <w:rFonts w:ascii="仿宋_GB2312" w:eastAsia="仿宋_GB2312" w:hAnsi="仿宋" w:cs="Tahoma"/>
          <w:color w:val="000000" w:themeColor="text1"/>
          <w:kern w:val="0"/>
          <w:sz w:val="32"/>
          <w:szCs w:val="32"/>
        </w:rPr>
        <w:t>100%计算</w:t>
      </w:r>
      <w:r>
        <w:rPr>
          <w:rFonts w:ascii="仿宋_GB2312" w:eastAsia="仿宋_GB2312" w:hAnsi="Calibri" w:cs="Times New Roman" w:hint="eastAsia"/>
          <w:color w:val="000000" w:themeColor="text1"/>
          <w:sz w:val="32"/>
          <w:szCs w:val="32"/>
        </w:rPr>
        <w:t>岗位</w:t>
      </w:r>
      <w:r>
        <w:rPr>
          <w:rFonts w:ascii="仿宋_GB2312" w:eastAsia="仿宋_GB2312" w:hAnsi="仿宋" w:cs="Tahoma"/>
          <w:color w:val="000000" w:themeColor="text1"/>
          <w:kern w:val="0"/>
          <w:sz w:val="32"/>
          <w:szCs w:val="32"/>
        </w:rPr>
        <w:t>绩效总量</w:t>
      </w:r>
      <w:r>
        <w:rPr>
          <w:rFonts w:ascii="仿宋_GB2312" w:eastAsia="仿宋_GB2312" w:hAnsi="仿宋" w:cs="Tahoma" w:hint="eastAsia"/>
          <w:color w:val="000000" w:themeColor="text1"/>
          <w:kern w:val="0"/>
          <w:sz w:val="32"/>
          <w:szCs w:val="32"/>
        </w:rPr>
        <w:t>；考核结果不合格的，按</w:t>
      </w:r>
      <w:r>
        <w:rPr>
          <w:rFonts w:ascii="仿宋_GB2312" w:eastAsia="仿宋_GB2312" w:hAnsi="仿宋" w:cs="Tahoma"/>
          <w:color w:val="000000" w:themeColor="text1"/>
          <w:kern w:val="0"/>
          <w:sz w:val="32"/>
          <w:szCs w:val="32"/>
        </w:rPr>
        <w:t>90%计算</w:t>
      </w:r>
      <w:r>
        <w:rPr>
          <w:rFonts w:ascii="仿宋_GB2312" w:eastAsia="仿宋_GB2312" w:hAnsi="Calibri" w:cs="Times New Roman" w:hint="eastAsia"/>
          <w:color w:val="000000" w:themeColor="text1"/>
          <w:sz w:val="32"/>
          <w:szCs w:val="32"/>
        </w:rPr>
        <w:t>岗位</w:t>
      </w:r>
      <w:r>
        <w:rPr>
          <w:rFonts w:ascii="仿宋_GB2312" w:eastAsia="仿宋_GB2312" w:hAnsi="仿宋" w:cs="Tahoma"/>
          <w:color w:val="000000" w:themeColor="text1"/>
          <w:kern w:val="0"/>
          <w:sz w:val="32"/>
          <w:szCs w:val="32"/>
        </w:rPr>
        <w:t>绩效总量</w:t>
      </w:r>
      <w:r>
        <w:rPr>
          <w:rFonts w:ascii="仿宋_GB2312" w:eastAsia="仿宋_GB2312" w:hAnsi="仿宋" w:cs="Tahoma" w:hint="eastAsia"/>
          <w:color w:val="000000" w:themeColor="text1"/>
          <w:kern w:val="0"/>
          <w:sz w:val="32"/>
          <w:szCs w:val="32"/>
        </w:rPr>
        <w:t>。</w:t>
      </w:r>
    </w:p>
    <w:p w:rsidR="00F43A07" w:rsidRDefault="009D2794">
      <w:pPr>
        <w:widowControl/>
        <w:snapToGrid w:val="0"/>
        <w:spacing w:line="360" w:lineRule="auto"/>
        <w:ind w:firstLineChars="190" w:firstLine="608"/>
        <w:jc w:val="left"/>
        <w:rPr>
          <w:rFonts w:ascii="仿宋_GB2312" w:eastAsia="仿宋_GB2312" w:hAnsi="仿宋" w:cs="Tahoma"/>
          <w:color w:val="000000" w:themeColor="text1"/>
          <w:kern w:val="0"/>
          <w:sz w:val="32"/>
          <w:szCs w:val="32"/>
        </w:rPr>
      </w:pPr>
      <w:r>
        <w:rPr>
          <w:rFonts w:ascii="仿宋_GB2312" w:eastAsia="仿宋_GB2312" w:hAnsi="仿宋" w:cs="Tahoma" w:hint="eastAsia"/>
          <w:kern w:val="0"/>
          <w:sz w:val="32"/>
          <w:szCs w:val="32"/>
        </w:rPr>
        <w:t>二级分配：考核结果优秀的，</w:t>
      </w:r>
      <w:r>
        <w:rPr>
          <w:rFonts w:ascii="仿宋_GB2312" w:eastAsia="仿宋_GB2312" w:hAnsi="仿宋" w:cs="Tahoma" w:hint="eastAsia"/>
          <w:color w:val="000000" w:themeColor="text1"/>
          <w:kern w:val="0"/>
          <w:sz w:val="32"/>
          <w:szCs w:val="32"/>
        </w:rPr>
        <w:t>按约定比例增加10%后计</w:t>
      </w:r>
      <w:r>
        <w:rPr>
          <w:rFonts w:ascii="仿宋_GB2312" w:eastAsia="仿宋_GB2312" w:hAnsi="仿宋" w:cs="Tahoma" w:hint="eastAsia"/>
          <w:kern w:val="0"/>
          <w:sz w:val="32"/>
          <w:szCs w:val="32"/>
        </w:rPr>
        <w:t>算</w:t>
      </w:r>
      <w:r>
        <w:rPr>
          <w:rFonts w:ascii="仿宋_GB2312" w:eastAsia="仿宋_GB2312" w:hAnsi="Calibri" w:cs="Times New Roman" w:hint="eastAsia"/>
          <w:color w:val="000000" w:themeColor="text1"/>
          <w:sz w:val="32"/>
          <w:szCs w:val="32"/>
        </w:rPr>
        <w:t>岗位</w:t>
      </w:r>
      <w:r>
        <w:rPr>
          <w:rFonts w:ascii="仿宋_GB2312" w:eastAsia="仿宋_GB2312" w:hAnsi="仿宋" w:cs="Tahoma" w:hint="eastAsia"/>
          <w:color w:val="000000" w:themeColor="text1"/>
          <w:kern w:val="0"/>
          <w:sz w:val="32"/>
          <w:szCs w:val="32"/>
        </w:rPr>
        <w:t>绩效总量；考核结果合格的，按约定比例计算</w:t>
      </w:r>
      <w:r>
        <w:rPr>
          <w:rFonts w:ascii="仿宋_GB2312" w:eastAsia="仿宋_GB2312" w:hAnsi="Calibri" w:cs="Times New Roman" w:hint="eastAsia"/>
          <w:color w:val="000000" w:themeColor="text1"/>
          <w:sz w:val="32"/>
          <w:szCs w:val="32"/>
        </w:rPr>
        <w:t>岗位</w:t>
      </w:r>
      <w:r>
        <w:rPr>
          <w:rFonts w:ascii="仿宋_GB2312" w:eastAsia="仿宋_GB2312" w:hAnsi="仿宋" w:cs="Tahoma" w:hint="eastAsia"/>
          <w:color w:val="000000" w:themeColor="text1"/>
          <w:kern w:val="0"/>
          <w:sz w:val="32"/>
          <w:szCs w:val="32"/>
        </w:rPr>
        <w:t>绩效总量；考核结果不合格的，按约定比例减少</w:t>
      </w:r>
      <w:r>
        <w:rPr>
          <w:rFonts w:ascii="仿宋_GB2312" w:eastAsia="仿宋_GB2312" w:hAnsi="仿宋" w:cs="Tahoma"/>
          <w:color w:val="000000" w:themeColor="text1"/>
          <w:kern w:val="0"/>
          <w:sz w:val="32"/>
          <w:szCs w:val="32"/>
        </w:rPr>
        <w:t>10%后计算</w:t>
      </w:r>
      <w:r>
        <w:rPr>
          <w:rFonts w:ascii="仿宋_GB2312" w:eastAsia="仿宋_GB2312" w:hAnsi="Calibri" w:cs="Times New Roman" w:hint="eastAsia"/>
          <w:color w:val="000000" w:themeColor="text1"/>
          <w:sz w:val="32"/>
          <w:szCs w:val="32"/>
        </w:rPr>
        <w:t>岗位</w:t>
      </w:r>
      <w:r>
        <w:rPr>
          <w:rFonts w:ascii="仿宋_GB2312" w:eastAsia="仿宋_GB2312" w:hAnsi="仿宋" w:cs="Tahoma"/>
          <w:color w:val="000000" w:themeColor="text1"/>
          <w:kern w:val="0"/>
          <w:sz w:val="32"/>
          <w:szCs w:val="32"/>
        </w:rPr>
        <w:t>绩效总量</w:t>
      </w:r>
      <w:r>
        <w:rPr>
          <w:rFonts w:ascii="仿宋_GB2312" w:eastAsia="仿宋_GB2312" w:hAnsi="仿宋" w:cs="Tahoma" w:hint="eastAsia"/>
          <w:color w:val="000000" w:themeColor="text1"/>
          <w:kern w:val="0"/>
          <w:sz w:val="32"/>
          <w:szCs w:val="32"/>
        </w:rPr>
        <w:t>。</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（3）岗位绩效发放　</w:t>
      </w:r>
    </w:p>
    <w:p w:rsidR="00F43A07" w:rsidRDefault="009D2794">
      <w:pPr>
        <w:ind w:firstLineChars="200" w:firstLine="640"/>
        <w:jc w:val="left"/>
        <w:rPr>
          <w:rFonts w:ascii="仿宋_GB2312" w:eastAsia="仿宋_GB2312" w:hAnsi="仿宋" w:cs="Tahoma"/>
          <w:kern w:val="0"/>
          <w:sz w:val="32"/>
          <w:szCs w:val="32"/>
        </w:rPr>
      </w:pPr>
      <w:r>
        <w:rPr>
          <w:rFonts w:ascii="仿宋_GB2312" w:eastAsia="仿宋_GB2312" w:hAnsi="Calibri" w:cs="Times New Roman" w:hint="eastAsia"/>
          <w:sz w:val="32"/>
          <w:szCs w:val="32"/>
        </w:rPr>
        <w:t>实际发放时</w:t>
      </w:r>
      <w:r>
        <w:rPr>
          <w:rFonts w:ascii="仿宋_GB2312" w:eastAsia="仿宋_GB2312" w:hAnsi="Calibri" w:cs="Times New Roman"/>
          <w:sz w:val="32"/>
          <w:szCs w:val="32"/>
        </w:rPr>
        <w:t>，</w:t>
      </w:r>
      <w:r>
        <w:rPr>
          <w:rFonts w:ascii="仿宋_GB2312" w:eastAsia="仿宋_GB2312" w:hAnsi="Calibri" w:cs="Times New Roman" w:hint="eastAsia"/>
          <w:sz w:val="32"/>
          <w:szCs w:val="32"/>
        </w:rPr>
        <w:t>学校按月将上一年度岗位绩效总额</w:t>
      </w:r>
      <w:r>
        <w:rPr>
          <w:rFonts w:ascii="仿宋_GB2312" w:eastAsia="仿宋_GB2312" w:hAnsi="Calibri" w:cs="Times New Roman"/>
          <w:sz w:val="32"/>
          <w:szCs w:val="32"/>
        </w:rPr>
        <w:t>的</w:t>
      </w:r>
      <w:r>
        <w:rPr>
          <w:rFonts w:ascii="仿宋_GB2312" w:eastAsia="仿宋_GB2312" w:hAnsi="Calibri" w:cs="Times New Roman" w:hint="eastAsia"/>
          <w:sz w:val="32"/>
          <w:szCs w:val="32"/>
        </w:rPr>
        <w:t>70</w:t>
      </w:r>
      <w:r>
        <w:rPr>
          <w:rFonts w:ascii="仿宋_GB2312" w:eastAsia="仿宋_GB2312" w:hAnsi="Calibri" w:cs="Times New Roman"/>
          <w:sz w:val="32"/>
          <w:szCs w:val="32"/>
        </w:rPr>
        <w:t>%</w:t>
      </w:r>
      <w:r>
        <w:rPr>
          <w:rFonts w:ascii="仿宋_GB2312" w:eastAsia="仿宋_GB2312" w:hAnsi="Calibri" w:cs="Times New Roman" w:hint="eastAsia"/>
          <w:sz w:val="32"/>
          <w:szCs w:val="32"/>
        </w:rPr>
        <w:t>核拨给各单位，剩余</w:t>
      </w:r>
      <w:r>
        <w:rPr>
          <w:rFonts w:ascii="仿宋_GB2312" w:eastAsia="仿宋_GB2312" w:hAnsi="Calibri" w:cs="Times New Roman"/>
          <w:sz w:val="32"/>
          <w:szCs w:val="32"/>
        </w:rPr>
        <w:t>部分和当年增长部分在年底打包核拨给各单位，</w:t>
      </w:r>
      <w:r>
        <w:rPr>
          <w:rFonts w:ascii="仿宋_GB2312" w:eastAsia="仿宋_GB2312" w:hAnsi="Calibri" w:cs="Times New Roman" w:hint="eastAsia"/>
          <w:sz w:val="32"/>
          <w:szCs w:val="32"/>
        </w:rPr>
        <w:t>学校计算</w:t>
      </w:r>
      <w:r>
        <w:rPr>
          <w:rFonts w:ascii="仿宋_GB2312" w:eastAsia="仿宋_GB2312" w:hAnsi="Calibri" w:cs="Times New Roman" w:hint="eastAsia"/>
          <w:color w:val="000000" w:themeColor="text1"/>
          <w:sz w:val="32"/>
          <w:szCs w:val="32"/>
        </w:rPr>
        <w:t>岗位绩效的标</w:t>
      </w:r>
      <w:r>
        <w:rPr>
          <w:rFonts w:ascii="仿宋_GB2312" w:eastAsia="仿宋_GB2312" w:hAnsi="Calibri" w:cs="Times New Roman" w:hint="eastAsia"/>
          <w:sz w:val="32"/>
          <w:szCs w:val="32"/>
        </w:rPr>
        <w:t>准不作为各</w:t>
      </w:r>
      <w:r>
        <w:rPr>
          <w:rFonts w:ascii="仿宋_GB2312" w:eastAsia="仿宋_GB2312" w:hAnsi="Calibri" w:cs="Times New Roman"/>
          <w:sz w:val="32"/>
          <w:szCs w:val="32"/>
        </w:rPr>
        <w:t>单位</w:t>
      </w:r>
      <w:r>
        <w:rPr>
          <w:rFonts w:ascii="仿宋_GB2312" w:eastAsia="仿宋_GB2312" w:hAnsi="Calibri" w:cs="Times New Roman" w:hint="eastAsia"/>
          <w:sz w:val="32"/>
          <w:szCs w:val="32"/>
        </w:rPr>
        <w:t>发放岗位绩效依据，具体发放办法根据本单位制定的绩效工资实施方案执行。</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2．校部机关、直属单位的岗位绩效</w:t>
      </w:r>
    </w:p>
    <w:p w:rsidR="00F43A07" w:rsidRDefault="009D279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（1）岗位绩效经费来源</w:t>
      </w:r>
    </w:p>
    <w:p w:rsidR="00F43A07" w:rsidRDefault="009D2794">
      <w:pPr>
        <w:ind w:firstLine="648"/>
        <w:jc w:val="left"/>
        <w:rPr>
          <w:rFonts w:ascii="仿宋_GB2312" w:eastAsia="仿宋_GB2312" w:hAnsi="Calibri" w:cs="Times New Roman"/>
          <w:sz w:val="32"/>
          <w:szCs w:val="32"/>
          <w:u w:val="single"/>
        </w:rPr>
      </w:pPr>
      <w:r>
        <w:rPr>
          <w:rFonts w:ascii="仿宋_GB2312" w:eastAsia="仿宋_GB2312" w:hAnsi="Calibri" w:cs="Times New Roman" w:hint="eastAsia"/>
          <w:sz w:val="32"/>
          <w:szCs w:val="32"/>
        </w:rPr>
        <w:t>校部机关、直属单位实行一级分配，其岗位</w:t>
      </w:r>
      <w:r>
        <w:rPr>
          <w:rFonts w:ascii="仿宋_GB2312" w:eastAsia="仿宋_GB2312" w:hAnsi="Calibri" w:cs="Times New Roman"/>
          <w:sz w:val="32"/>
          <w:szCs w:val="32"/>
        </w:rPr>
        <w:t>绩效</w:t>
      </w:r>
      <w:r>
        <w:rPr>
          <w:rFonts w:ascii="仿宋_GB2312" w:eastAsia="仿宋_GB2312" w:hAnsi="Calibri" w:cs="Times New Roman" w:hint="eastAsia"/>
          <w:sz w:val="32"/>
          <w:szCs w:val="32"/>
        </w:rPr>
        <w:t>经费来源是学校核拨的岗位绩效总量（各类岗位绩效系数详见附件2）,各单位工作职责范围内的社会服务</w:t>
      </w:r>
      <w:r>
        <w:rPr>
          <w:rFonts w:ascii="仿宋_GB2312" w:eastAsia="仿宋_GB2312" w:hAnsi="Calibri" w:cs="Times New Roman"/>
          <w:sz w:val="32"/>
          <w:szCs w:val="32"/>
        </w:rPr>
        <w:t>收益</w:t>
      </w:r>
      <w:r>
        <w:rPr>
          <w:rFonts w:ascii="仿宋_GB2312" w:eastAsia="仿宋_GB2312" w:hAnsi="Calibri" w:cs="Times New Roman" w:hint="eastAsia"/>
          <w:sz w:val="32"/>
          <w:szCs w:val="32"/>
        </w:rPr>
        <w:t>均划归学校账户，不再用于本单位奖励性绩效工资发放</w:t>
      </w:r>
      <w:r>
        <w:rPr>
          <w:rFonts w:ascii="仿宋_GB2312" w:eastAsia="仿宋_GB2312" w:hAnsi="Calibri" w:cs="Times New Roman"/>
          <w:sz w:val="32"/>
          <w:szCs w:val="32"/>
        </w:rPr>
        <w:t>，但可</w:t>
      </w:r>
      <w:r>
        <w:rPr>
          <w:rFonts w:ascii="仿宋_GB2312" w:eastAsia="仿宋_GB2312" w:hAnsi="Calibri" w:cs="Times New Roman" w:hint="eastAsia"/>
          <w:sz w:val="32"/>
          <w:szCs w:val="32"/>
        </w:rPr>
        <w:t>用于</w:t>
      </w:r>
      <w:r>
        <w:rPr>
          <w:rFonts w:ascii="仿宋_GB2312" w:eastAsia="仿宋_GB2312" w:hAnsi="Calibri" w:cs="Times New Roman"/>
          <w:sz w:val="32"/>
          <w:szCs w:val="32"/>
        </w:rPr>
        <w:t>二级单位的事业发展</w:t>
      </w:r>
      <w:r>
        <w:rPr>
          <w:rFonts w:ascii="仿宋_GB2312" w:eastAsia="仿宋_GB2312" w:hAnsi="Calibri" w:cs="Times New Roman" w:hint="eastAsia"/>
          <w:sz w:val="32"/>
          <w:szCs w:val="32"/>
        </w:rPr>
        <w:t>。</w:t>
      </w:r>
    </w:p>
    <w:p w:rsidR="00F43A07" w:rsidRDefault="009D2794">
      <w:pPr>
        <w:ind w:firstLine="648"/>
        <w:jc w:val="left"/>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sz w:val="32"/>
          <w:szCs w:val="32"/>
        </w:rPr>
        <w:t>2</w:t>
      </w:r>
      <w:r>
        <w:rPr>
          <w:rFonts w:ascii="仿宋_GB2312" w:eastAsia="仿宋_GB2312" w:hAnsi="Calibri" w:cs="Times New Roman" w:hint="eastAsia"/>
          <w:sz w:val="32"/>
          <w:szCs w:val="32"/>
        </w:rPr>
        <w:t>）岗位</w:t>
      </w:r>
      <w:r>
        <w:rPr>
          <w:rFonts w:ascii="仿宋_GB2312" w:eastAsia="仿宋_GB2312" w:hAnsi="Calibri" w:cs="Times New Roman"/>
          <w:sz w:val="32"/>
          <w:szCs w:val="32"/>
        </w:rPr>
        <w:t>绩效</w:t>
      </w:r>
      <w:r>
        <w:rPr>
          <w:rFonts w:ascii="仿宋_GB2312" w:eastAsia="仿宋_GB2312" w:hAnsi="Calibri" w:cs="Times New Roman" w:hint="eastAsia"/>
          <w:sz w:val="32"/>
          <w:szCs w:val="32"/>
        </w:rPr>
        <w:t>核拨及发放</w:t>
      </w:r>
    </w:p>
    <w:p w:rsidR="00F43A07" w:rsidRDefault="009D2794">
      <w:pPr>
        <w:ind w:firstLine="648"/>
        <w:jc w:val="left"/>
        <w:rPr>
          <w:rFonts w:ascii="仿宋_GB2312" w:eastAsia="仿宋_GB2312" w:hAnsi="Calibri" w:cs="Times New Roman"/>
          <w:sz w:val="32"/>
          <w:szCs w:val="32"/>
        </w:rPr>
      </w:pPr>
      <w:r>
        <w:rPr>
          <w:rFonts w:ascii="仿宋_GB2312" w:eastAsia="仿宋_GB2312" w:hAnsi="Calibri" w:cs="Times New Roman" w:hint="eastAsia"/>
          <w:sz w:val="32"/>
          <w:szCs w:val="32"/>
        </w:rPr>
        <w:t>实际发放时，教职工</w:t>
      </w:r>
      <w:r>
        <w:rPr>
          <w:rFonts w:ascii="仿宋_GB2312" w:eastAsia="仿宋_GB2312" w:hAnsi="Calibri" w:cs="Times New Roman" w:hint="eastAsia"/>
          <w:color w:val="000000" w:themeColor="text1"/>
          <w:sz w:val="32"/>
          <w:szCs w:val="32"/>
        </w:rPr>
        <w:t>岗位绩</w:t>
      </w:r>
      <w:r>
        <w:rPr>
          <w:rFonts w:ascii="仿宋_GB2312" w:eastAsia="仿宋_GB2312" w:hAnsi="Calibri" w:cs="Times New Roman" w:hint="eastAsia"/>
          <w:sz w:val="32"/>
          <w:szCs w:val="32"/>
        </w:rPr>
        <w:t>效的80%部分由学校按月预</w:t>
      </w:r>
      <w:r>
        <w:rPr>
          <w:rFonts w:ascii="仿宋_GB2312" w:eastAsia="仿宋_GB2312" w:hAnsi="Calibri" w:cs="Times New Roman" w:hint="eastAsia"/>
          <w:sz w:val="32"/>
          <w:szCs w:val="32"/>
        </w:rPr>
        <w:lastRenderedPageBreak/>
        <w:t>发给个人，剩余部分和当年增长部分在年底打包核拨给各单位，由各单位根据工作人员履行岗位职责情况和实际工作业绩，结合个人绩效考核情况，经本单位领导班子集体研究后进行分配。</w:t>
      </w:r>
    </w:p>
    <w:p w:rsidR="00F43A07" w:rsidRDefault="009D2794">
      <w:pPr>
        <w:ind w:firstLine="648"/>
        <w:jc w:val="left"/>
        <w:rPr>
          <w:rFonts w:ascii="仿宋_GB2312" w:eastAsia="仿宋_GB2312" w:hAnsi="Calibri" w:cs="Times New Roman"/>
          <w:sz w:val="32"/>
          <w:szCs w:val="32"/>
        </w:rPr>
      </w:pPr>
      <w:r>
        <w:rPr>
          <w:rFonts w:ascii="仿宋_GB2312" w:eastAsia="仿宋_GB2312" w:hAnsi="Calibri" w:cs="Times New Roman" w:hint="eastAsia"/>
          <w:sz w:val="32"/>
          <w:szCs w:val="32"/>
        </w:rPr>
        <w:t>3、学校</w:t>
      </w:r>
      <w:r>
        <w:rPr>
          <w:rFonts w:ascii="仿宋_GB2312" w:eastAsia="仿宋_GB2312" w:hAnsi="Calibri" w:cs="Times New Roman"/>
          <w:sz w:val="32"/>
          <w:szCs w:val="32"/>
        </w:rPr>
        <w:t>相关</w:t>
      </w:r>
      <w:r>
        <w:rPr>
          <w:rFonts w:ascii="仿宋_GB2312" w:eastAsia="仿宋_GB2312" w:hAnsi="Calibri" w:cs="Times New Roman" w:hint="eastAsia"/>
          <w:sz w:val="32"/>
          <w:szCs w:val="32"/>
        </w:rPr>
        <w:t>职能部门设立</w:t>
      </w:r>
      <w:r>
        <w:rPr>
          <w:rFonts w:ascii="仿宋_GB2312" w:eastAsia="仿宋_GB2312" w:hAnsi="Calibri" w:cs="Times New Roman"/>
          <w:sz w:val="32"/>
          <w:szCs w:val="32"/>
        </w:rPr>
        <w:t>的各类</w:t>
      </w:r>
      <w:r>
        <w:rPr>
          <w:rFonts w:ascii="仿宋_GB2312" w:eastAsia="仿宋_GB2312" w:hAnsi="Calibri" w:cs="Times New Roman" w:hint="eastAsia"/>
          <w:sz w:val="32"/>
          <w:szCs w:val="32"/>
        </w:rPr>
        <w:t>奖励，</w:t>
      </w:r>
      <w:r>
        <w:rPr>
          <w:rFonts w:ascii="仿宋_GB2312" w:eastAsia="仿宋_GB2312" w:hAnsi="Calibri" w:cs="Times New Roman"/>
          <w:sz w:val="32"/>
          <w:szCs w:val="32"/>
        </w:rPr>
        <w:t>其奖励办法</w:t>
      </w:r>
      <w:r>
        <w:rPr>
          <w:rFonts w:ascii="仿宋_GB2312" w:eastAsia="仿宋_GB2312" w:hAnsi="Calibri" w:cs="Times New Roman" w:hint="eastAsia"/>
          <w:sz w:val="32"/>
          <w:szCs w:val="32"/>
        </w:rPr>
        <w:t>按照各职能部门规定</w:t>
      </w:r>
      <w:r>
        <w:rPr>
          <w:rFonts w:ascii="仿宋_GB2312" w:eastAsia="仿宋_GB2312" w:hAnsi="Calibri" w:cs="Times New Roman"/>
          <w:sz w:val="32"/>
          <w:szCs w:val="32"/>
        </w:rPr>
        <w:t>执行</w:t>
      </w:r>
      <w:r>
        <w:rPr>
          <w:rFonts w:ascii="仿宋_GB2312" w:eastAsia="仿宋_GB2312" w:hAnsi="Calibri" w:cs="Times New Roman" w:hint="eastAsia"/>
          <w:sz w:val="32"/>
          <w:szCs w:val="32"/>
        </w:rPr>
        <w:t>。</w:t>
      </w:r>
    </w:p>
    <w:p w:rsidR="00F43A07" w:rsidRDefault="009D2794">
      <w:pPr>
        <w:jc w:val="left"/>
        <w:rPr>
          <w:rFonts w:ascii="仿宋_GB2312" w:eastAsia="仿宋_GB2312" w:hAnsi="Calibri" w:cs="Times New Roman"/>
          <w:sz w:val="32"/>
          <w:szCs w:val="32"/>
        </w:rPr>
      </w:pPr>
      <w:r>
        <w:rPr>
          <w:rFonts w:ascii="黑体" w:eastAsia="黑体" w:hAnsi="黑体" w:cs="Times New Roman" w:hint="eastAsia"/>
          <w:sz w:val="32"/>
          <w:szCs w:val="32"/>
        </w:rPr>
        <w:t xml:space="preserve">    七、绩效工资实施中的有关规定</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（一）绩效工资的计发年度为当年</w:t>
      </w:r>
      <w:r>
        <w:rPr>
          <w:rFonts w:ascii="仿宋_GB2312" w:eastAsia="仿宋_GB2312" w:hAnsi="Calibri" w:cs="Times New Roman"/>
          <w:sz w:val="32"/>
          <w:szCs w:val="32"/>
        </w:rPr>
        <w:t>1</w:t>
      </w:r>
      <w:r>
        <w:rPr>
          <w:rFonts w:ascii="仿宋_GB2312" w:eastAsia="仿宋_GB2312" w:hAnsi="Calibri" w:cs="Times New Roman" w:hint="eastAsia"/>
          <w:sz w:val="32"/>
          <w:szCs w:val="32"/>
        </w:rPr>
        <w:t>月份至12月份。</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（二）基础性绩效工资中的工作年限的计算包括未计算工龄的全日制大专以上学龄。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（三）对符合江苏省岗位设置“双肩挑”条件，聘用在校部机关的“双肩挑”人员就高兑现管理岗位的职级绩效或教师岗位的岗位绩效，另外再兑现相应管理岗位的领导绩效。</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（四）校部机关、直属单位中，聘用在其他专业技术岗位且担任科级以上领导职务人员，按就高原则发放岗位绩效。</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五）由专业技术岗位转岗至管理岗位以及调入人员中，暂未明确党政或职员职级期间的绩效工资标准暂按以下办法执行：基础性绩效工资暂按其专业技术职务标准执行；中级及以上专业技术职务人员的岗位绩效按七级职员标准执行，初级专业技术职务人员的岗位绩效按九级职员标准执行，技术员级专业技术职务人员的岗位绩效按办事员标准执行。</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（六）学校工作人员，经学校批准借调至其他单位工作</w:t>
      </w:r>
      <w:r>
        <w:rPr>
          <w:rFonts w:ascii="仿宋_GB2312" w:eastAsia="仿宋_GB2312" w:hAnsi="Calibri" w:cs="Times New Roman" w:hint="eastAsia"/>
          <w:sz w:val="32"/>
          <w:szCs w:val="32"/>
        </w:rPr>
        <w:lastRenderedPageBreak/>
        <w:t>期间，有相关协议或学校批示的，其绩效工资待遇按相关协议或学校批示精神执行，无相关协议或学校批示的，其绩效工资待遇根据本办法由学校全额承担。</w:t>
      </w:r>
    </w:p>
    <w:p w:rsidR="00F43A07" w:rsidRDefault="009D2794">
      <w:pPr>
        <w:jc w:val="left"/>
        <w:rPr>
          <w:rFonts w:ascii="黑体" w:eastAsia="黑体" w:hAnsi="黑体" w:cs="Times New Roman"/>
          <w:sz w:val="32"/>
          <w:szCs w:val="32"/>
        </w:rPr>
      </w:pPr>
      <w:r>
        <w:rPr>
          <w:rFonts w:ascii="仿宋_GB2312" w:eastAsia="仿宋_GB2312" w:hAnsi="Calibri" w:cs="Times New Roman" w:hint="eastAsia"/>
          <w:sz w:val="32"/>
          <w:szCs w:val="32"/>
        </w:rPr>
        <w:t xml:space="preserve">　　</w:t>
      </w:r>
      <w:r>
        <w:rPr>
          <w:rFonts w:ascii="黑体" w:eastAsia="黑体" w:hAnsi="黑体" w:cs="Times New Roman" w:hint="eastAsia"/>
          <w:sz w:val="32"/>
          <w:szCs w:val="32"/>
        </w:rPr>
        <w:t>八、绩效工资实施中有关具体情况的处理</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一）工作人员按照国家有关规定享受探亲假、年休假、婚丧假、产假、晚育假、男方护理假等假期待遇的，其规定休假期间绩效工资的发放不受影响。女职工在请哺乳假期间基础性绩效工资中岗位津贴停发，生活补贴全额发放，停发奖励性绩效工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（二）病事假人员按以下办法处理：</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1．连续病假满20天不满1个月或当月累计病假满20天，基础性绩效工资中岗位津贴按50%计发，生活补贴全额发放，奖励性绩效工资扣发全年标准的二十四分之一；连续病假满1个月，基础性绩效工资中岗位津贴从病假之日起停发，生活补贴全额发放，奖励性绩效工资扣发全年标准的十二分之一。</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当月事假满5天，基础性绩效工资中岗位津贴按50%计发，生活补贴全额发放，奖励性绩效工资扣发全年标准的二十四分之一；连续事假满10天或当月累计事假满10天，基础性绩效工资中岗位津贴停发1个月，生活补贴全额发放，奖励性绩效工资扣发全年标准的十二分之一。</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3．长病假人员的基础性绩效工资中岗位津贴纳入病假</w:t>
      </w:r>
      <w:r>
        <w:rPr>
          <w:rFonts w:ascii="仿宋_GB2312" w:eastAsia="仿宋_GB2312" w:hAnsi="Calibri" w:cs="Times New Roman" w:hint="eastAsia"/>
          <w:sz w:val="32"/>
          <w:szCs w:val="32"/>
        </w:rPr>
        <w:lastRenderedPageBreak/>
        <w:t>工资计发基数，生活补贴全额发放，奖励性绩效工资除因公病假外，原则上不再发放。</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4．因患癌症、精神病未参加年度考核的工作人员，原则上予以照顾，不影响基础性绩效工资的正常发放和调整，奖励性绩效工资不再发放。</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（三）经学校批准在国内外在职脱产攻读博士学位的教师，在规定学制期限内，由学校全额发放基础性绩效工资，奖励性绩效工资按所在学院（部）的规定执行。</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（四）经学校批准公派出国（境）访学和工作的教师，在批准期限内，由学校全额发放基础性绩效工资，奖励性绩效工资按所在学院（部）的规定执行。</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（五）因私出国（境）在1个月以内的，参照事假发放绩效工资；超过1个月的，从出国（境）之日起停发绩效工资。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六）工作人员当月旷工1天，基础性绩效工资中岗位津贴按50%计发，生活补贴全额发放，奖励性绩效工资扣发全年标准的二十四分之一；工作人员当月旷工2天，基础性绩效工资中岗位津贴停发1个月，生活补贴全额发放，奖励性绩效工资扣发全年标准的十二分之一。</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（七）待聘人员待聘期间基础性绩效工资中岗位津贴停发，生活补贴全额发放，停发奖励性绩效工资。</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（八）年度考核结果为基本合格或不合格人员，其基础</w:t>
      </w:r>
      <w:r>
        <w:rPr>
          <w:rFonts w:ascii="仿宋_GB2312" w:eastAsia="仿宋_GB2312" w:hAnsi="Calibri" w:cs="Times New Roman" w:hint="eastAsia"/>
          <w:sz w:val="32"/>
          <w:szCs w:val="32"/>
        </w:rPr>
        <w:lastRenderedPageBreak/>
        <w:t>性绩效工资中岗位津贴从年度考核结果审核备案的次月起分别停发3个月、6个月，生活补贴全额发放。岗位津贴停发期间，机关、直属单位工作人员的奖励性绩效工资一并停发，学院（部）工作人员的奖励性绩效工资由单位自主确定。</w:t>
      </w:r>
    </w:p>
    <w:p w:rsidR="00F43A07" w:rsidRDefault="009D2794">
      <w:pPr>
        <w:jc w:val="left"/>
        <w:rPr>
          <w:rFonts w:ascii="黑体" w:eastAsia="黑体" w:hAnsi="黑体" w:cs="Times New Roman"/>
          <w:sz w:val="32"/>
          <w:szCs w:val="32"/>
        </w:rPr>
      </w:pPr>
      <w:r>
        <w:rPr>
          <w:rFonts w:ascii="仿宋_GB2312" w:eastAsia="仿宋_GB2312" w:hAnsi="Calibri" w:cs="Times New Roman" w:hint="eastAsia"/>
          <w:sz w:val="32"/>
          <w:szCs w:val="32"/>
        </w:rPr>
        <w:t xml:space="preserve">　　</w:t>
      </w:r>
      <w:r>
        <w:rPr>
          <w:rFonts w:ascii="黑体" w:eastAsia="黑体" w:hAnsi="黑体" w:cs="Times New Roman" w:hint="eastAsia"/>
          <w:sz w:val="32"/>
          <w:szCs w:val="32"/>
        </w:rPr>
        <w:t>九、附则</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（一）本办法由学校绩效工资实施工作领导小组办公室负责解释。原《苏州大学绩效工资实施办法（暂行）》（苏大委〔2013〕48号）文件终止执行。</w:t>
      </w:r>
    </w:p>
    <w:p w:rsidR="00F43A07" w:rsidRDefault="009D279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（二）其他未尽事宜，由校绩效工资实施工作领导小组进行审议后，提交学校决定。</w:t>
      </w:r>
    </w:p>
    <w:p w:rsidR="00F43A07" w:rsidRDefault="009D2794">
      <w:pPr>
        <w:widowControl/>
        <w:jc w:val="left"/>
        <w:rPr>
          <w:rFonts w:ascii="仿宋_GB2312" w:eastAsia="仿宋_GB2312" w:hAnsi="Calibri" w:cs="Times New Roman"/>
          <w:sz w:val="32"/>
          <w:szCs w:val="32"/>
        </w:rPr>
      </w:pPr>
      <w:r>
        <w:rPr>
          <w:rFonts w:ascii="仿宋_GB2312" w:eastAsia="仿宋_GB2312" w:hAnsi="Calibri" w:cs="Times New Roman"/>
          <w:sz w:val="32"/>
          <w:szCs w:val="32"/>
        </w:rPr>
        <w:br w:type="page"/>
      </w:r>
    </w:p>
    <w:p w:rsidR="00F43A07" w:rsidRDefault="00F43A07">
      <w:pPr>
        <w:jc w:val="left"/>
        <w:rPr>
          <w:rFonts w:ascii="仿宋_GB2312" w:eastAsia="仿宋_GB2312" w:hAnsi="Calibri" w:cs="Times New Roman"/>
          <w:sz w:val="32"/>
          <w:szCs w:val="32"/>
        </w:rPr>
        <w:sectPr w:rsidR="00F43A07">
          <w:footerReference w:type="default" r:id="rId8"/>
          <w:pgSz w:w="11906" w:h="16838"/>
          <w:pgMar w:top="1440" w:right="1800" w:bottom="1440" w:left="1800" w:header="851" w:footer="992" w:gutter="0"/>
          <w:cols w:space="425"/>
          <w:docGrid w:type="lines" w:linePitch="312"/>
        </w:sectPr>
      </w:pPr>
    </w:p>
    <w:p w:rsidR="00F43A07" w:rsidRDefault="009D2794">
      <w:pPr>
        <w:rPr>
          <w:b/>
        </w:rPr>
      </w:pPr>
      <w:r>
        <w:rPr>
          <w:rFonts w:hint="eastAsia"/>
          <w:b/>
        </w:rPr>
        <w:lastRenderedPageBreak/>
        <w:t>附件</w:t>
      </w:r>
      <w:r>
        <w:rPr>
          <w:rFonts w:hint="eastAsia"/>
          <w:b/>
        </w:rPr>
        <w:t>1</w:t>
      </w:r>
      <w:r>
        <w:rPr>
          <w:rFonts w:hint="eastAsia"/>
          <w:b/>
        </w:rPr>
        <w:t>：</w:t>
      </w:r>
    </w:p>
    <w:p w:rsidR="00F43A07" w:rsidRDefault="009D2794">
      <w:r>
        <w:rPr>
          <w:noProof/>
        </w:rPr>
        <w:drawing>
          <wp:inline distT="0" distB="0" distL="0" distR="0">
            <wp:extent cx="8961755" cy="5427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965600" cy="5429362"/>
                    </a:xfrm>
                    <a:prstGeom prst="rect">
                      <a:avLst/>
                    </a:prstGeom>
                    <a:noFill/>
                  </pic:spPr>
                </pic:pic>
              </a:graphicData>
            </a:graphic>
          </wp:inline>
        </w:drawing>
      </w:r>
    </w:p>
    <w:p w:rsidR="00F43A07" w:rsidRDefault="00F43A07">
      <w:pPr>
        <w:jc w:val="left"/>
        <w:rPr>
          <w:rFonts w:ascii="仿宋_GB2312" w:eastAsia="仿宋_GB2312" w:hAnsi="Calibri" w:cs="Times New Roman"/>
          <w:sz w:val="32"/>
          <w:szCs w:val="32"/>
        </w:rPr>
        <w:sectPr w:rsidR="00F43A07">
          <w:pgSz w:w="16838" w:h="11906" w:orient="landscape"/>
          <w:pgMar w:top="1304" w:right="1134" w:bottom="1247" w:left="1134" w:header="851" w:footer="992" w:gutter="0"/>
          <w:cols w:space="425"/>
          <w:docGrid w:type="lines" w:linePitch="312"/>
        </w:sectPr>
      </w:pPr>
    </w:p>
    <w:p w:rsidR="00F43A07" w:rsidRDefault="009D2794">
      <w:pPr>
        <w:jc w:val="left"/>
        <w:rPr>
          <w:rFonts w:asciiTheme="majorEastAsia" w:eastAsiaTheme="majorEastAsia" w:hAnsiTheme="majorEastAsia" w:cs="Times New Roman"/>
          <w:b/>
          <w:sz w:val="30"/>
          <w:szCs w:val="30"/>
        </w:rPr>
      </w:pPr>
      <w:r>
        <w:rPr>
          <w:rFonts w:asciiTheme="majorEastAsia" w:eastAsiaTheme="majorEastAsia" w:hAnsiTheme="majorEastAsia" w:cs="Times New Roman" w:hint="eastAsia"/>
          <w:b/>
          <w:sz w:val="30"/>
          <w:szCs w:val="30"/>
        </w:rPr>
        <w:lastRenderedPageBreak/>
        <w:t>附件</w:t>
      </w:r>
      <w:r>
        <w:rPr>
          <w:rFonts w:asciiTheme="majorEastAsia" w:eastAsiaTheme="majorEastAsia" w:hAnsiTheme="majorEastAsia" w:cs="Times New Roman"/>
          <w:b/>
          <w:sz w:val="30"/>
          <w:szCs w:val="30"/>
        </w:rPr>
        <w:t>2：</w:t>
      </w:r>
    </w:p>
    <w:p w:rsidR="00F43A07" w:rsidRDefault="009D2794">
      <w:pPr>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苏州大学管理岗位绩效发放办法</w:t>
      </w: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管理岗位绩效按江苏省岗位设置聘用的岗位和担任的领导职务确定，包含职级绩效和领导绩效两部分,系数如下：</w:t>
      </w: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1、职级绩效</w:t>
      </w:r>
      <w:r>
        <w:rPr>
          <w:rFonts w:ascii="仿宋_GB2312" w:eastAsia="仿宋_GB2312" w:hAnsi="Calibri" w:cs="Times New Roman"/>
          <w:sz w:val="32"/>
          <w:szCs w:val="32"/>
        </w:rPr>
        <w:t>系数</w:t>
      </w:r>
    </w:p>
    <w:tbl>
      <w:tblPr>
        <w:tblW w:w="7256" w:type="dxa"/>
        <w:tblInd w:w="790" w:type="dxa"/>
        <w:tblLayout w:type="fixed"/>
        <w:tblLook w:val="04A0" w:firstRow="1" w:lastRow="0" w:firstColumn="1" w:lastColumn="0" w:noHBand="0" w:noVBand="1"/>
      </w:tblPr>
      <w:tblGrid>
        <w:gridCol w:w="2579"/>
        <w:gridCol w:w="2409"/>
        <w:gridCol w:w="2268"/>
      </w:tblGrid>
      <w:tr w:rsidR="00F43A07">
        <w:trPr>
          <w:trHeight w:val="1002"/>
        </w:trPr>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所聘岗位</w:t>
            </w:r>
          </w:p>
        </w:tc>
        <w:tc>
          <w:tcPr>
            <w:tcW w:w="2409"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原2013年奖励</w:t>
            </w:r>
            <w:r>
              <w:rPr>
                <w:rFonts w:ascii="宋体" w:eastAsia="宋体" w:hAnsi="宋体" w:cs="宋体" w:hint="eastAsia"/>
                <w:b/>
                <w:bCs/>
                <w:kern w:val="0"/>
                <w:sz w:val="24"/>
                <w:szCs w:val="24"/>
              </w:rPr>
              <w:br/>
              <w:t>绩效岗位系数</w:t>
            </w:r>
          </w:p>
        </w:tc>
        <w:tc>
          <w:tcPr>
            <w:tcW w:w="2268"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职级绩效</w:t>
            </w:r>
            <w:r>
              <w:rPr>
                <w:rFonts w:ascii="宋体" w:eastAsia="宋体" w:hAnsi="宋体" w:cs="宋体" w:hint="eastAsia"/>
                <w:b/>
                <w:bCs/>
                <w:kern w:val="0"/>
                <w:sz w:val="24"/>
                <w:szCs w:val="24"/>
              </w:rPr>
              <w:br/>
              <w:t>系数</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三级职员岗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19</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四级职员岗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7.8</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15.5</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五级职员岗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6.4</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六级职员岗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七级职员岗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3.4</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八级职员岗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2.8</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r>
      <w:tr w:rsidR="00F43A07">
        <w:trPr>
          <w:trHeight w:val="522"/>
        </w:trPr>
        <w:tc>
          <w:tcPr>
            <w:tcW w:w="257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九级及以下职员岗</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2.2</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5.5</w:t>
            </w:r>
          </w:p>
        </w:tc>
      </w:tr>
    </w:tbl>
    <w:p w:rsidR="00F43A07" w:rsidRDefault="00F43A07">
      <w:pPr>
        <w:spacing w:line="500" w:lineRule="exact"/>
        <w:jc w:val="left"/>
        <w:rPr>
          <w:rFonts w:ascii="仿宋" w:eastAsia="仿宋" w:hAnsi="仿宋" w:cs="仿宋"/>
          <w:sz w:val="28"/>
          <w:szCs w:val="28"/>
        </w:rPr>
      </w:pP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 w:eastAsia="仿宋" w:hAnsi="仿宋" w:cs="仿宋" w:hint="eastAsia"/>
          <w:sz w:val="32"/>
          <w:szCs w:val="32"/>
        </w:rPr>
        <w:t>聘任在管理岗位的工作人员，若担任党政领导职务的，同时发放领导绩效，系数如下：</w:t>
      </w:r>
    </w:p>
    <w:tbl>
      <w:tblPr>
        <w:tblW w:w="5742" w:type="dxa"/>
        <w:jc w:val="center"/>
        <w:tblLayout w:type="fixed"/>
        <w:tblLook w:val="04A0" w:firstRow="1" w:lastRow="0" w:firstColumn="1" w:lastColumn="0" w:noHBand="0" w:noVBand="1"/>
      </w:tblPr>
      <w:tblGrid>
        <w:gridCol w:w="2907"/>
        <w:gridCol w:w="2835"/>
      </w:tblGrid>
      <w:tr w:rsidR="00F43A07">
        <w:trPr>
          <w:trHeight w:val="1002"/>
          <w:jc w:val="center"/>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所任职务</w:t>
            </w:r>
          </w:p>
        </w:tc>
        <w:tc>
          <w:tcPr>
            <w:tcW w:w="2835"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领导绩效系数</w:t>
            </w:r>
          </w:p>
        </w:tc>
      </w:tr>
      <w:tr w:rsidR="00F43A07">
        <w:trPr>
          <w:trHeight w:val="522"/>
          <w:jc w:val="center"/>
        </w:trPr>
        <w:tc>
          <w:tcPr>
            <w:tcW w:w="290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正厅职</w:t>
            </w:r>
          </w:p>
        </w:tc>
        <w:tc>
          <w:tcPr>
            <w:tcW w:w="28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F43A07">
        <w:trPr>
          <w:trHeight w:val="522"/>
          <w:jc w:val="center"/>
        </w:trPr>
        <w:tc>
          <w:tcPr>
            <w:tcW w:w="290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副厅职</w:t>
            </w:r>
          </w:p>
        </w:tc>
        <w:tc>
          <w:tcPr>
            <w:tcW w:w="28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F43A07">
        <w:trPr>
          <w:trHeight w:val="522"/>
          <w:jc w:val="center"/>
        </w:trPr>
        <w:tc>
          <w:tcPr>
            <w:tcW w:w="290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正处职</w:t>
            </w:r>
          </w:p>
        </w:tc>
        <w:tc>
          <w:tcPr>
            <w:tcW w:w="28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1.5</w:t>
            </w:r>
          </w:p>
        </w:tc>
      </w:tr>
      <w:tr w:rsidR="00F43A07">
        <w:trPr>
          <w:trHeight w:val="522"/>
          <w:jc w:val="center"/>
        </w:trPr>
        <w:tc>
          <w:tcPr>
            <w:tcW w:w="290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副处职</w:t>
            </w:r>
          </w:p>
        </w:tc>
        <w:tc>
          <w:tcPr>
            <w:tcW w:w="28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F43A07">
        <w:trPr>
          <w:trHeight w:val="522"/>
          <w:jc w:val="center"/>
        </w:trPr>
        <w:tc>
          <w:tcPr>
            <w:tcW w:w="290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正科职</w:t>
            </w:r>
          </w:p>
        </w:tc>
        <w:tc>
          <w:tcPr>
            <w:tcW w:w="28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0.6</w:t>
            </w:r>
          </w:p>
        </w:tc>
      </w:tr>
      <w:tr w:rsidR="00F43A07">
        <w:trPr>
          <w:trHeight w:val="522"/>
          <w:jc w:val="center"/>
        </w:trPr>
        <w:tc>
          <w:tcPr>
            <w:tcW w:w="290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副科职</w:t>
            </w:r>
          </w:p>
        </w:tc>
        <w:tc>
          <w:tcPr>
            <w:tcW w:w="28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4"/>
                <w:szCs w:val="24"/>
              </w:rPr>
            </w:pPr>
            <w:r>
              <w:rPr>
                <w:rFonts w:ascii="宋体" w:eastAsia="宋体" w:hAnsi="宋体" w:cs="宋体" w:hint="eastAsia"/>
                <w:kern w:val="0"/>
                <w:sz w:val="24"/>
                <w:szCs w:val="24"/>
              </w:rPr>
              <w:t>0.3</w:t>
            </w:r>
          </w:p>
        </w:tc>
      </w:tr>
    </w:tbl>
    <w:p w:rsidR="00F43A07" w:rsidRDefault="00F43A07">
      <w:pPr>
        <w:widowControl/>
        <w:snapToGrid w:val="0"/>
        <w:jc w:val="center"/>
        <w:rPr>
          <w:rFonts w:asciiTheme="majorEastAsia" w:eastAsiaTheme="majorEastAsia" w:hAnsiTheme="majorEastAsia" w:cstheme="majorEastAsia"/>
          <w:b/>
          <w:bCs/>
          <w:sz w:val="44"/>
          <w:szCs w:val="44"/>
        </w:rPr>
      </w:pPr>
    </w:p>
    <w:p w:rsidR="00F43A07" w:rsidRDefault="009D2794">
      <w:pPr>
        <w:widowControl/>
        <w:snapToGrid w:val="0"/>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苏州大学教师岗位绩效发放办法</w:t>
      </w: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教师岗位绩效按《苏州大学教师岗位供给侧结构性改革实施</w:t>
      </w:r>
      <w:r>
        <w:rPr>
          <w:rFonts w:ascii="仿宋_GB2312" w:eastAsia="仿宋_GB2312" w:hAnsi="Calibri" w:cs="Times New Roman"/>
          <w:sz w:val="32"/>
          <w:szCs w:val="32"/>
        </w:rPr>
        <w:t>办法</w:t>
      </w:r>
      <w:r>
        <w:rPr>
          <w:rFonts w:ascii="仿宋_GB2312" w:eastAsia="仿宋_GB2312" w:hAnsi="Calibri" w:cs="Times New Roman" w:hint="eastAsia"/>
          <w:sz w:val="32"/>
          <w:szCs w:val="32"/>
        </w:rPr>
        <w:t>》所聘岗位确定，其中</w:t>
      </w:r>
      <w:r>
        <w:rPr>
          <w:rFonts w:ascii="仿宋_GB2312" w:eastAsia="仿宋_GB2312" w:hAnsi="Calibri" w:cs="Times New Roman"/>
          <w:sz w:val="32"/>
          <w:szCs w:val="32"/>
        </w:rPr>
        <w:t>A类岗位</w:t>
      </w:r>
      <w:r>
        <w:rPr>
          <w:rFonts w:ascii="仿宋_GB2312" w:eastAsia="仿宋_GB2312" w:hAnsi="Calibri" w:cs="Times New Roman" w:hint="eastAsia"/>
          <w:sz w:val="32"/>
          <w:szCs w:val="32"/>
        </w:rPr>
        <w:t>实行协议年薪</w:t>
      </w:r>
      <w:r>
        <w:rPr>
          <w:rFonts w:ascii="仿宋_GB2312" w:eastAsia="仿宋_GB2312" w:hAnsi="Calibri" w:cs="Times New Roman"/>
          <w:sz w:val="32"/>
          <w:szCs w:val="32"/>
        </w:rPr>
        <w:t>制，</w:t>
      </w:r>
      <w:r>
        <w:rPr>
          <w:rFonts w:ascii="仿宋_GB2312" w:eastAsia="仿宋_GB2312" w:hAnsi="Calibri" w:cs="Times New Roman" w:hint="eastAsia"/>
          <w:sz w:val="32"/>
          <w:szCs w:val="32"/>
        </w:rPr>
        <w:t>B类岗位和C类</w:t>
      </w:r>
      <w:r>
        <w:rPr>
          <w:rFonts w:ascii="仿宋_GB2312" w:eastAsia="仿宋_GB2312" w:hAnsi="Calibri" w:cs="Times New Roman"/>
          <w:sz w:val="32"/>
          <w:szCs w:val="32"/>
        </w:rPr>
        <w:t>岗位</w:t>
      </w:r>
      <w:r>
        <w:rPr>
          <w:rFonts w:ascii="仿宋_GB2312" w:eastAsia="仿宋_GB2312" w:hAnsi="Calibri" w:cs="Times New Roman" w:hint="eastAsia"/>
          <w:sz w:val="32"/>
          <w:szCs w:val="32"/>
        </w:rPr>
        <w:t>实行</w:t>
      </w:r>
      <w:r>
        <w:rPr>
          <w:rFonts w:ascii="仿宋_GB2312" w:eastAsia="仿宋_GB2312" w:hAnsi="Calibri" w:cs="Times New Roman"/>
          <w:sz w:val="32"/>
          <w:szCs w:val="32"/>
        </w:rPr>
        <w:t>岗位</w:t>
      </w:r>
      <w:r>
        <w:rPr>
          <w:rFonts w:ascii="仿宋_GB2312" w:eastAsia="仿宋_GB2312" w:hAnsi="Calibri" w:cs="Times New Roman" w:hint="eastAsia"/>
          <w:sz w:val="32"/>
          <w:szCs w:val="32"/>
        </w:rPr>
        <w:t>绩效</w:t>
      </w:r>
      <w:r>
        <w:rPr>
          <w:rFonts w:ascii="仿宋_GB2312" w:eastAsia="仿宋_GB2312" w:hAnsi="Calibri" w:cs="Times New Roman"/>
          <w:sz w:val="32"/>
          <w:szCs w:val="32"/>
        </w:rPr>
        <w:t>，</w:t>
      </w:r>
      <w:r>
        <w:rPr>
          <w:rFonts w:ascii="仿宋_GB2312" w:eastAsia="仿宋_GB2312" w:hAnsi="Calibri" w:cs="Times New Roman" w:hint="eastAsia"/>
          <w:sz w:val="32"/>
          <w:szCs w:val="32"/>
        </w:rPr>
        <w:t>标准如下：</w:t>
      </w: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1、A类</w:t>
      </w:r>
      <w:r>
        <w:rPr>
          <w:rFonts w:ascii="仿宋_GB2312" w:eastAsia="仿宋_GB2312" w:hAnsi="Calibri" w:cs="Times New Roman"/>
          <w:sz w:val="32"/>
          <w:szCs w:val="32"/>
        </w:rPr>
        <w:t>岗位</w:t>
      </w:r>
    </w:p>
    <w:tbl>
      <w:tblPr>
        <w:tblW w:w="7256" w:type="dxa"/>
        <w:tblInd w:w="790" w:type="dxa"/>
        <w:tblLayout w:type="fixed"/>
        <w:tblLook w:val="04A0" w:firstRow="1" w:lastRow="0" w:firstColumn="1" w:lastColumn="0" w:noHBand="0" w:noVBand="1"/>
      </w:tblPr>
      <w:tblGrid>
        <w:gridCol w:w="3713"/>
        <w:gridCol w:w="3543"/>
      </w:tblGrid>
      <w:tr w:rsidR="00F43A07">
        <w:trPr>
          <w:trHeight w:val="1002"/>
        </w:trPr>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所聘岗位</w:t>
            </w:r>
          </w:p>
        </w:tc>
        <w:tc>
          <w:tcPr>
            <w:tcW w:w="3543"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年薪</w:t>
            </w:r>
          </w:p>
        </w:tc>
      </w:tr>
      <w:tr w:rsidR="00F43A07">
        <w:trPr>
          <w:trHeight w:val="646"/>
        </w:trPr>
        <w:tc>
          <w:tcPr>
            <w:tcW w:w="3713"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color w:val="000000"/>
                <w:kern w:val="0"/>
                <w:sz w:val="24"/>
                <w:szCs w:val="24"/>
              </w:rPr>
              <w:t>1</w:t>
            </w:r>
          </w:p>
        </w:tc>
        <w:tc>
          <w:tcPr>
            <w:tcW w:w="3543"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w:t>
            </w:r>
          </w:p>
        </w:tc>
      </w:tr>
      <w:tr w:rsidR="00F43A07">
        <w:trPr>
          <w:trHeight w:val="698"/>
        </w:trPr>
        <w:tc>
          <w:tcPr>
            <w:tcW w:w="3713"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color w:val="000000"/>
                <w:kern w:val="0"/>
                <w:sz w:val="24"/>
                <w:szCs w:val="24"/>
              </w:rPr>
              <w:t>2</w:t>
            </w:r>
          </w:p>
        </w:tc>
        <w:tc>
          <w:tcPr>
            <w:tcW w:w="3543"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r>
      <w:tr w:rsidR="00F43A07">
        <w:trPr>
          <w:trHeight w:val="694"/>
        </w:trPr>
        <w:tc>
          <w:tcPr>
            <w:tcW w:w="3713"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color w:val="000000"/>
                <w:kern w:val="0"/>
                <w:sz w:val="24"/>
                <w:szCs w:val="24"/>
              </w:rPr>
              <w:t>3</w:t>
            </w:r>
          </w:p>
        </w:tc>
        <w:tc>
          <w:tcPr>
            <w:tcW w:w="3543"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r>
    </w:tbl>
    <w:p w:rsidR="00F43A07" w:rsidRDefault="00F43A07">
      <w:pPr>
        <w:widowControl/>
        <w:jc w:val="left"/>
        <w:rPr>
          <w:rFonts w:ascii="黑体" w:eastAsia="黑体" w:hAnsi="黑体" w:cs="Times New Roman"/>
          <w:sz w:val="32"/>
          <w:szCs w:val="32"/>
        </w:rPr>
      </w:pP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2、B类岗位和C类</w:t>
      </w:r>
      <w:r>
        <w:rPr>
          <w:rFonts w:ascii="仿宋_GB2312" w:eastAsia="仿宋_GB2312" w:hAnsi="Calibri" w:cs="Times New Roman"/>
          <w:sz w:val="32"/>
          <w:szCs w:val="32"/>
        </w:rPr>
        <w:t>岗位</w:t>
      </w:r>
    </w:p>
    <w:tbl>
      <w:tblPr>
        <w:tblW w:w="4890" w:type="dxa"/>
        <w:tblInd w:w="775" w:type="dxa"/>
        <w:tblLayout w:type="fixed"/>
        <w:tblLook w:val="04A0" w:firstRow="1" w:lastRow="0" w:firstColumn="1" w:lastColumn="0" w:noHBand="0" w:noVBand="1"/>
      </w:tblPr>
      <w:tblGrid>
        <w:gridCol w:w="2481"/>
        <w:gridCol w:w="2409"/>
      </w:tblGrid>
      <w:tr w:rsidR="00F43A07">
        <w:trPr>
          <w:trHeight w:val="1002"/>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所聘岗位</w:t>
            </w:r>
          </w:p>
        </w:tc>
        <w:tc>
          <w:tcPr>
            <w:tcW w:w="2409"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岗位绩效</w:t>
            </w:r>
            <w:r>
              <w:rPr>
                <w:rFonts w:ascii="宋体" w:eastAsia="宋体" w:hAnsi="宋体" w:cs="宋体" w:hint="eastAsia"/>
                <w:b/>
                <w:bCs/>
                <w:color w:val="000000"/>
                <w:kern w:val="0"/>
                <w:sz w:val="24"/>
                <w:szCs w:val="24"/>
              </w:rPr>
              <w:br/>
              <w:t>系数</w:t>
            </w:r>
          </w:p>
        </w:tc>
      </w:tr>
      <w:tr w:rsidR="00F43A07">
        <w:trPr>
          <w:trHeight w:val="678"/>
        </w:trPr>
        <w:tc>
          <w:tcPr>
            <w:tcW w:w="2481"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color w:val="000000"/>
                <w:kern w:val="0"/>
                <w:sz w:val="24"/>
                <w:szCs w:val="24"/>
              </w:rPr>
              <w:t>1</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r>
      <w:tr w:rsidR="00F43A07">
        <w:trPr>
          <w:trHeight w:val="702"/>
        </w:trPr>
        <w:tc>
          <w:tcPr>
            <w:tcW w:w="2481"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color w:val="000000"/>
                <w:kern w:val="0"/>
                <w:sz w:val="24"/>
                <w:szCs w:val="24"/>
              </w:rPr>
              <w:t>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r>
      <w:tr w:rsidR="00F43A07">
        <w:trPr>
          <w:trHeight w:val="684"/>
        </w:trPr>
        <w:tc>
          <w:tcPr>
            <w:tcW w:w="2481"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color w:val="000000"/>
                <w:kern w:val="0"/>
                <w:sz w:val="24"/>
                <w:szCs w:val="24"/>
              </w:rPr>
              <w:t>3</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r>
      <w:tr w:rsidR="00F43A07">
        <w:trPr>
          <w:trHeight w:val="708"/>
        </w:trPr>
        <w:tc>
          <w:tcPr>
            <w:tcW w:w="2481"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color w:val="000000"/>
                <w:kern w:val="0"/>
                <w:sz w:val="24"/>
                <w:szCs w:val="24"/>
              </w:rPr>
              <w:t>1</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r>
      <w:tr w:rsidR="00F43A07">
        <w:trPr>
          <w:trHeight w:val="690"/>
        </w:trPr>
        <w:tc>
          <w:tcPr>
            <w:tcW w:w="2481"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color w:val="000000"/>
                <w:kern w:val="0"/>
                <w:sz w:val="24"/>
                <w:szCs w:val="24"/>
              </w:rPr>
              <w:t>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Pr>
                <w:rFonts w:ascii="宋体" w:eastAsia="宋体" w:hAnsi="宋体" w:cs="宋体"/>
                <w:color w:val="000000"/>
                <w:kern w:val="0"/>
                <w:sz w:val="24"/>
                <w:szCs w:val="24"/>
              </w:rPr>
              <w:t>.5</w:t>
            </w:r>
          </w:p>
        </w:tc>
      </w:tr>
      <w:tr w:rsidR="00F43A07">
        <w:trPr>
          <w:trHeight w:val="700"/>
        </w:trPr>
        <w:tc>
          <w:tcPr>
            <w:tcW w:w="2481"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color w:val="000000"/>
                <w:kern w:val="0"/>
                <w:sz w:val="24"/>
                <w:szCs w:val="24"/>
              </w:rPr>
              <w:t>3</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r>
    </w:tbl>
    <w:p w:rsidR="00F43A07" w:rsidRDefault="00F43A07">
      <w:pPr>
        <w:widowControl/>
        <w:jc w:val="left"/>
        <w:rPr>
          <w:rFonts w:ascii="黑体" w:eastAsia="黑体" w:hAnsi="黑体" w:cs="Times New Roman"/>
          <w:sz w:val="32"/>
          <w:szCs w:val="32"/>
        </w:rPr>
      </w:pPr>
    </w:p>
    <w:p w:rsidR="00F43A07" w:rsidRDefault="00F43A07">
      <w:pPr>
        <w:widowControl/>
        <w:jc w:val="left"/>
        <w:rPr>
          <w:rFonts w:ascii="黑体" w:eastAsia="黑体" w:hAnsi="黑体" w:cs="Times New Roman"/>
          <w:sz w:val="32"/>
          <w:szCs w:val="32"/>
        </w:rPr>
      </w:pPr>
    </w:p>
    <w:p w:rsidR="00F43A07" w:rsidRDefault="00F43A07">
      <w:pPr>
        <w:jc w:val="left"/>
        <w:rPr>
          <w:rFonts w:asciiTheme="majorEastAsia" w:eastAsiaTheme="majorEastAsia" w:hAnsiTheme="majorEastAsia" w:cs="Times New Roman"/>
          <w:b/>
          <w:sz w:val="24"/>
          <w:szCs w:val="24"/>
        </w:rPr>
      </w:pPr>
    </w:p>
    <w:p w:rsidR="00F43A07" w:rsidRDefault="009D2794">
      <w:pPr>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lastRenderedPageBreak/>
        <w:t>苏州大学其他</w:t>
      </w:r>
      <w:r>
        <w:rPr>
          <w:rFonts w:asciiTheme="majorEastAsia" w:eastAsiaTheme="majorEastAsia" w:hAnsiTheme="majorEastAsia" w:cs="Times New Roman"/>
          <w:b/>
          <w:sz w:val="44"/>
          <w:szCs w:val="44"/>
        </w:rPr>
        <w:t>专</w:t>
      </w:r>
      <w:r>
        <w:rPr>
          <w:rFonts w:asciiTheme="majorEastAsia" w:eastAsiaTheme="majorEastAsia" w:hAnsiTheme="majorEastAsia" w:cs="Times New Roman" w:hint="eastAsia"/>
          <w:b/>
          <w:sz w:val="44"/>
          <w:szCs w:val="44"/>
        </w:rPr>
        <w:t>业技术岗位绩效发放办法</w:t>
      </w: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其他专业</w:t>
      </w:r>
      <w:r>
        <w:rPr>
          <w:rFonts w:ascii="仿宋_GB2312" w:eastAsia="仿宋_GB2312" w:hAnsi="Calibri" w:cs="Times New Roman"/>
          <w:sz w:val="32"/>
          <w:szCs w:val="32"/>
        </w:rPr>
        <w:t>技术</w:t>
      </w:r>
      <w:r>
        <w:rPr>
          <w:rFonts w:ascii="仿宋_GB2312" w:eastAsia="仿宋_GB2312" w:hAnsi="Calibri" w:cs="Times New Roman" w:hint="eastAsia"/>
          <w:sz w:val="32"/>
          <w:szCs w:val="32"/>
        </w:rPr>
        <w:t>岗位绩效按江苏省岗位设置聘用的岗位确定，系数如下：</w:t>
      </w:r>
    </w:p>
    <w:tbl>
      <w:tblPr>
        <w:tblW w:w="7391" w:type="dxa"/>
        <w:tblInd w:w="655" w:type="dxa"/>
        <w:tblLayout w:type="fixed"/>
        <w:tblLook w:val="04A0" w:firstRow="1" w:lastRow="0" w:firstColumn="1" w:lastColumn="0" w:noHBand="0" w:noVBand="1"/>
      </w:tblPr>
      <w:tblGrid>
        <w:gridCol w:w="2547"/>
        <w:gridCol w:w="2435"/>
        <w:gridCol w:w="2409"/>
      </w:tblGrid>
      <w:tr w:rsidR="00F43A07">
        <w:trPr>
          <w:trHeight w:val="100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所聘岗位</w:t>
            </w:r>
          </w:p>
        </w:tc>
        <w:tc>
          <w:tcPr>
            <w:tcW w:w="2435"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原2013年奖励</w:t>
            </w:r>
            <w:r>
              <w:rPr>
                <w:rFonts w:ascii="宋体" w:eastAsia="宋体" w:hAnsi="宋体" w:cs="宋体" w:hint="eastAsia"/>
                <w:b/>
                <w:bCs/>
                <w:color w:val="000000"/>
                <w:kern w:val="0"/>
                <w:sz w:val="24"/>
                <w:szCs w:val="24"/>
              </w:rPr>
              <w:br/>
              <w:t>绩效岗位系数</w:t>
            </w:r>
          </w:p>
        </w:tc>
        <w:tc>
          <w:tcPr>
            <w:tcW w:w="2409"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岗位绩效</w:t>
            </w:r>
            <w:r>
              <w:rPr>
                <w:rFonts w:ascii="宋体" w:eastAsia="宋体" w:hAnsi="宋体" w:cs="宋体" w:hint="eastAsia"/>
                <w:b/>
                <w:bCs/>
                <w:color w:val="000000"/>
                <w:kern w:val="0"/>
                <w:sz w:val="24"/>
                <w:szCs w:val="24"/>
              </w:rPr>
              <w:br/>
              <w:t>系数</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正高二级岗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25</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正高三级岗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20</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正高四级岗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15</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副高五级岗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12</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副高六级岗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10.6</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副高七级岗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9.6</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中级八级岗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8.6</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中级九级岗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7.6</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中级十级岗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7</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初级十一级岗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6.4</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初级十二级岗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5.5</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次级十三级岗</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4.5</w:t>
            </w:r>
          </w:p>
        </w:tc>
      </w:tr>
      <w:tr w:rsidR="00F43A07">
        <w:trPr>
          <w:trHeight w:val="522"/>
        </w:trPr>
        <w:tc>
          <w:tcPr>
            <w:tcW w:w="2547"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见习期人员</w:t>
            </w:r>
          </w:p>
        </w:tc>
        <w:tc>
          <w:tcPr>
            <w:tcW w:w="2435"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409" w:type="dxa"/>
            <w:tcBorders>
              <w:top w:val="nil"/>
              <w:left w:val="nil"/>
              <w:bottom w:val="single" w:sz="4" w:space="0" w:color="auto"/>
              <w:right w:val="single" w:sz="4" w:space="0" w:color="auto"/>
            </w:tcBorders>
            <w:shd w:val="clear" w:color="auto" w:fill="auto"/>
            <w:vAlign w:val="center"/>
          </w:tcPr>
          <w:p w:rsidR="00F43A07" w:rsidRDefault="009D279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3.5</w:t>
            </w:r>
          </w:p>
        </w:tc>
      </w:tr>
    </w:tbl>
    <w:p w:rsidR="00F43A07" w:rsidRDefault="00F43A07">
      <w:pPr>
        <w:spacing w:line="500" w:lineRule="exact"/>
        <w:jc w:val="left"/>
        <w:rPr>
          <w:rFonts w:ascii="仿宋" w:eastAsia="仿宋" w:hAnsi="仿宋" w:cs="仿宋"/>
          <w:sz w:val="32"/>
          <w:szCs w:val="32"/>
        </w:rPr>
      </w:pPr>
    </w:p>
    <w:p w:rsidR="00F43A07" w:rsidRDefault="00F43A07">
      <w:pPr>
        <w:spacing w:line="500" w:lineRule="exact"/>
        <w:jc w:val="left"/>
        <w:rPr>
          <w:rFonts w:ascii="仿宋" w:eastAsia="仿宋" w:hAnsi="仿宋" w:cs="仿宋"/>
          <w:sz w:val="32"/>
          <w:szCs w:val="32"/>
        </w:rPr>
      </w:pPr>
    </w:p>
    <w:p w:rsidR="00F43A07" w:rsidRDefault="00F43A07">
      <w:pPr>
        <w:spacing w:line="500" w:lineRule="exact"/>
        <w:jc w:val="left"/>
        <w:rPr>
          <w:rFonts w:ascii="仿宋" w:eastAsia="仿宋" w:hAnsi="仿宋" w:cs="仿宋"/>
          <w:sz w:val="32"/>
          <w:szCs w:val="32"/>
        </w:rPr>
      </w:pPr>
    </w:p>
    <w:p w:rsidR="00F43A07" w:rsidRDefault="00F43A07">
      <w:pPr>
        <w:spacing w:line="500" w:lineRule="exact"/>
        <w:jc w:val="left"/>
        <w:rPr>
          <w:rFonts w:ascii="仿宋" w:eastAsia="仿宋" w:hAnsi="仿宋" w:cs="仿宋"/>
          <w:sz w:val="32"/>
          <w:szCs w:val="32"/>
        </w:rPr>
      </w:pPr>
    </w:p>
    <w:p w:rsidR="00F43A07" w:rsidRDefault="00F43A07">
      <w:pPr>
        <w:spacing w:line="500" w:lineRule="exact"/>
        <w:jc w:val="left"/>
        <w:rPr>
          <w:rFonts w:ascii="仿宋" w:eastAsia="仿宋" w:hAnsi="仿宋" w:cs="仿宋"/>
          <w:sz w:val="32"/>
          <w:szCs w:val="32"/>
        </w:rPr>
      </w:pPr>
    </w:p>
    <w:p w:rsidR="00F43A07" w:rsidRDefault="00F43A07">
      <w:pPr>
        <w:spacing w:line="500" w:lineRule="exact"/>
        <w:jc w:val="left"/>
        <w:rPr>
          <w:rFonts w:ascii="仿宋" w:eastAsia="仿宋" w:hAnsi="仿宋" w:cs="仿宋"/>
          <w:sz w:val="32"/>
          <w:szCs w:val="32"/>
        </w:rPr>
      </w:pPr>
    </w:p>
    <w:p w:rsidR="00F43A07" w:rsidRDefault="00F43A07">
      <w:pPr>
        <w:spacing w:line="500" w:lineRule="exact"/>
        <w:jc w:val="left"/>
        <w:rPr>
          <w:rFonts w:ascii="仿宋" w:eastAsia="仿宋" w:hAnsi="仿宋" w:cs="仿宋"/>
          <w:sz w:val="32"/>
          <w:szCs w:val="32"/>
        </w:rPr>
      </w:pPr>
    </w:p>
    <w:p w:rsidR="00F43A07" w:rsidRDefault="009D2794">
      <w:pPr>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苏州大学工勤技能岗位绩效发放办法</w:t>
      </w: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工勤技能</w:t>
      </w:r>
      <w:r>
        <w:rPr>
          <w:rFonts w:ascii="仿宋_GB2312" w:eastAsia="仿宋_GB2312" w:hAnsi="Calibri" w:cs="Times New Roman"/>
          <w:sz w:val="32"/>
          <w:szCs w:val="32"/>
        </w:rPr>
        <w:t>岗位</w:t>
      </w:r>
      <w:r>
        <w:rPr>
          <w:rFonts w:ascii="仿宋_GB2312" w:eastAsia="仿宋_GB2312" w:hAnsi="Calibri" w:cs="Times New Roman" w:hint="eastAsia"/>
          <w:sz w:val="32"/>
          <w:szCs w:val="32"/>
        </w:rPr>
        <w:t>绩效按江苏省岗位设置聘用的岗位确定，系数如下：</w:t>
      </w:r>
    </w:p>
    <w:tbl>
      <w:tblPr>
        <w:tblW w:w="6613" w:type="dxa"/>
        <w:tblInd w:w="895" w:type="dxa"/>
        <w:tblLayout w:type="fixed"/>
        <w:tblLook w:val="04A0" w:firstRow="1" w:lastRow="0" w:firstColumn="1" w:lastColumn="0" w:noHBand="0" w:noVBand="1"/>
      </w:tblPr>
      <w:tblGrid>
        <w:gridCol w:w="2219"/>
        <w:gridCol w:w="2268"/>
        <w:gridCol w:w="2126"/>
      </w:tblGrid>
      <w:tr w:rsidR="00F43A07">
        <w:trPr>
          <w:trHeight w:val="1002"/>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所聘岗位</w:t>
            </w:r>
          </w:p>
        </w:tc>
        <w:tc>
          <w:tcPr>
            <w:tcW w:w="2268"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原2013年奖励</w:t>
            </w:r>
            <w:r>
              <w:rPr>
                <w:rFonts w:ascii="宋体" w:eastAsia="宋体" w:hAnsi="宋体" w:cs="宋体" w:hint="eastAsia"/>
                <w:b/>
                <w:bCs/>
                <w:color w:val="000000"/>
                <w:kern w:val="0"/>
                <w:sz w:val="24"/>
                <w:szCs w:val="24"/>
              </w:rPr>
              <w:br/>
              <w:t>绩效岗位系数</w:t>
            </w:r>
          </w:p>
        </w:tc>
        <w:tc>
          <w:tcPr>
            <w:tcW w:w="2126" w:type="dxa"/>
            <w:tcBorders>
              <w:top w:val="single" w:sz="4" w:space="0" w:color="auto"/>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岗位绩效</w:t>
            </w:r>
            <w:r>
              <w:rPr>
                <w:rFonts w:ascii="宋体" w:eastAsia="宋体" w:hAnsi="宋体" w:cs="宋体" w:hint="eastAsia"/>
                <w:b/>
                <w:bCs/>
                <w:color w:val="000000"/>
                <w:kern w:val="0"/>
                <w:sz w:val="24"/>
                <w:szCs w:val="24"/>
              </w:rPr>
              <w:br/>
              <w:t>系数</w:t>
            </w:r>
          </w:p>
        </w:tc>
      </w:tr>
      <w:tr w:rsidR="00F43A07">
        <w:trPr>
          <w:trHeight w:val="522"/>
        </w:trPr>
        <w:tc>
          <w:tcPr>
            <w:tcW w:w="221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高级技师</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2126"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8"/>
                <w:szCs w:val="28"/>
              </w:rPr>
            </w:pPr>
            <w:r>
              <w:rPr>
                <w:rFonts w:ascii="宋体" w:eastAsia="宋体" w:hAnsi="宋体" w:cs="宋体" w:hint="eastAsia"/>
                <w:kern w:val="0"/>
                <w:sz w:val="28"/>
                <w:szCs w:val="28"/>
              </w:rPr>
              <w:t>8.6</w:t>
            </w:r>
          </w:p>
        </w:tc>
      </w:tr>
      <w:tr w:rsidR="00F43A07">
        <w:trPr>
          <w:trHeight w:val="522"/>
        </w:trPr>
        <w:tc>
          <w:tcPr>
            <w:tcW w:w="221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技师</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2126"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8"/>
                <w:szCs w:val="28"/>
              </w:rPr>
            </w:pPr>
            <w:r>
              <w:rPr>
                <w:rFonts w:ascii="宋体" w:eastAsia="宋体" w:hAnsi="宋体" w:cs="宋体" w:hint="eastAsia"/>
                <w:kern w:val="0"/>
                <w:sz w:val="28"/>
                <w:szCs w:val="28"/>
              </w:rPr>
              <w:t>7</w:t>
            </w:r>
          </w:p>
        </w:tc>
      </w:tr>
      <w:tr w:rsidR="00F43A07">
        <w:trPr>
          <w:trHeight w:val="522"/>
        </w:trPr>
        <w:tc>
          <w:tcPr>
            <w:tcW w:w="221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高级工</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2126"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8"/>
                <w:szCs w:val="28"/>
              </w:rPr>
            </w:pPr>
            <w:r>
              <w:rPr>
                <w:rFonts w:ascii="宋体" w:eastAsia="宋体" w:hAnsi="宋体" w:cs="宋体" w:hint="eastAsia"/>
                <w:kern w:val="0"/>
                <w:sz w:val="28"/>
                <w:szCs w:val="28"/>
              </w:rPr>
              <w:t>5.8</w:t>
            </w:r>
          </w:p>
        </w:tc>
      </w:tr>
      <w:tr w:rsidR="00F43A07">
        <w:trPr>
          <w:trHeight w:val="522"/>
        </w:trPr>
        <w:tc>
          <w:tcPr>
            <w:tcW w:w="221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中级工</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2126"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8"/>
                <w:szCs w:val="28"/>
              </w:rPr>
            </w:pPr>
            <w:r>
              <w:rPr>
                <w:rFonts w:ascii="宋体" w:eastAsia="宋体" w:hAnsi="宋体" w:cs="宋体" w:hint="eastAsia"/>
                <w:kern w:val="0"/>
                <w:sz w:val="28"/>
                <w:szCs w:val="28"/>
              </w:rPr>
              <w:t>4.5</w:t>
            </w:r>
          </w:p>
        </w:tc>
      </w:tr>
      <w:tr w:rsidR="00F43A07">
        <w:trPr>
          <w:trHeight w:val="522"/>
        </w:trPr>
        <w:tc>
          <w:tcPr>
            <w:tcW w:w="221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初级工</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126"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8"/>
                <w:szCs w:val="28"/>
              </w:rPr>
            </w:pPr>
            <w:r>
              <w:rPr>
                <w:rFonts w:ascii="宋体" w:eastAsia="宋体" w:hAnsi="宋体" w:cs="宋体" w:hint="eastAsia"/>
                <w:kern w:val="0"/>
                <w:sz w:val="28"/>
                <w:szCs w:val="28"/>
              </w:rPr>
              <w:t>3.5</w:t>
            </w:r>
          </w:p>
        </w:tc>
      </w:tr>
      <w:tr w:rsidR="00F43A07">
        <w:trPr>
          <w:trHeight w:val="522"/>
        </w:trPr>
        <w:tc>
          <w:tcPr>
            <w:tcW w:w="2219" w:type="dxa"/>
            <w:tcBorders>
              <w:top w:val="nil"/>
              <w:left w:val="single" w:sz="4" w:space="0" w:color="auto"/>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普通工</w:t>
            </w:r>
          </w:p>
        </w:tc>
        <w:tc>
          <w:tcPr>
            <w:tcW w:w="2268"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126" w:type="dxa"/>
            <w:tcBorders>
              <w:top w:val="nil"/>
              <w:left w:val="nil"/>
              <w:bottom w:val="single" w:sz="4" w:space="0" w:color="auto"/>
              <w:right w:val="single" w:sz="4" w:space="0" w:color="auto"/>
            </w:tcBorders>
            <w:shd w:val="clear" w:color="auto" w:fill="auto"/>
            <w:vAlign w:val="center"/>
          </w:tcPr>
          <w:p w:rsidR="00F43A07" w:rsidRDefault="009D2794">
            <w:pPr>
              <w:widowControl/>
              <w:jc w:val="center"/>
              <w:rPr>
                <w:rFonts w:ascii="宋体" w:eastAsia="宋体" w:hAnsi="宋体" w:cs="宋体"/>
                <w:kern w:val="0"/>
                <w:sz w:val="28"/>
                <w:szCs w:val="28"/>
              </w:rPr>
            </w:pPr>
            <w:r>
              <w:rPr>
                <w:rFonts w:ascii="宋体" w:eastAsia="宋体" w:hAnsi="宋体" w:cs="宋体" w:hint="eastAsia"/>
                <w:kern w:val="0"/>
                <w:sz w:val="28"/>
                <w:szCs w:val="28"/>
              </w:rPr>
              <w:t>3.5</w:t>
            </w:r>
          </w:p>
        </w:tc>
      </w:tr>
    </w:tbl>
    <w:p w:rsidR="00F43A07" w:rsidRDefault="00F43A07">
      <w:pPr>
        <w:spacing w:line="500" w:lineRule="exact"/>
        <w:ind w:firstLineChars="200" w:firstLine="420"/>
        <w:jc w:val="left"/>
        <w:rPr>
          <w:color w:val="000000"/>
        </w:rPr>
      </w:pPr>
    </w:p>
    <w:p w:rsidR="00F43A07" w:rsidRDefault="009D2794">
      <w:pPr>
        <w:spacing w:line="50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以上岗位绩效系数单价以</w:t>
      </w:r>
      <w:r>
        <w:rPr>
          <w:rFonts w:ascii="仿宋_GB2312" w:eastAsia="仿宋_GB2312" w:hAnsi="Calibri" w:cs="Times New Roman"/>
          <w:sz w:val="32"/>
          <w:szCs w:val="32"/>
        </w:rPr>
        <w:t>一万元为</w:t>
      </w:r>
      <w:r>
        <w:rPr>
          <w:rFonts w:ascii="仿宋_GB2312" w:eastAsia="仿宋_GB2312" w:hAnsi="Calibri" w:cs="Times New Roman" w:hint="eastAsia"/>
          <w:sz w:val="32"/>
          <w:szCs w:val="32"/>
        </w:rPr>
        <w:t>基数</w:t>
      </w:r>
      <w:r>
        <w:rPr>
          <w:rFonts w:ascii="仿宋_GB2312" w:eastAsia="仿宋_GB2312" w:hAnsi="Calibri" w:cs="Times New Roman"/>
          <w:sz w:val="32"/>
          <w:szCs w:val="32"/>
        </w:rPr>
        <w:t>，</w:t>
      </w:r>
      <w:r>
        <w:rPr>
          <w:rFonts w:ascii="仿宋_GB2312" w:eastAsia="仿宋_GB2312" w:hAnsi="Calibri" w:cs="Times New Roman" w:hint="eastAsia"/>
          <w:sz w:val="32"/>
          <w:szCs w:val="32"/>
        </w:rPr>
        <w:t>每年由学校在年底根据奖励性绩效工资总量使用情况、财政状况、居民消费价格指数（CPI）等因素综合确定当年度岗位系数单价标准。</w:t>
      </w:r>
    </w:p>
    <w:p w:rsidR="00F43A07" w:rsidRDefault="00F43A07">
      <w:pPr>
        <w:widowControl/>
        <w:jc w:val="left"/>
        <w:rPr>
          <w:rFonts w:ascii="黑体" w:eastAsia="黑体" w:hAnsi="黑体" w:cs="Times New Roman"/>
          <w:sz w:val="32"/>
          <w:szCs w:val="32"/>
        </w:rPr>
      </w:pPr>
    </w:p>
    <w:p w:rsidR="00F43A07" w:rsidRDefault="00F43A07"/>
    <w:p w:rsidR="00F43A07" w:rsidRDefault="00F43A07">
      <w:pPr>
        <w:jc w:val="left"/>
      </w:pPr>
    </w:p>
    <w:p w:rsidR="00302706" w:rsidRDefault="00302706">
      <w:pPr>
        <w:jc w:val="left"/>
      </w:pPr>
    </w:p>
    <w:p w:rsidR="00F43A07" w:rsidRDefault="00F43A07">
      <w:pPr>
        <w:jc w:val="left"/>
      </w:pPr>
    </w:p>
    <w:p w:rsidR="00F43A07" w:rsidRDefault="00F43A07">
      <w:pPr>
        <w:jc w:val="left"/>
      </w:pPr>
    </w:p>
    <w:p w:rsidR="00F43A07" w:rsidRDefault="00F43A07">
      <w:pPr>
        <w:jc w:val="left"/>
      </w:pPr>
    </w:p>
    <w:p w:rsidR="00F43A07" w:rsidRDefault="00F43A07">
      <w:pPr>
        <w:jc w:val="left"/>
      </w:pPr>
    </w:p>
    <w:p w:rsidR="00F43A07" w:rsidRDefault="00F43A07">
      <w:pPr>
        <w:jc w:val="left"/>
      </w:pPr>
    </w:p>
    <w:p w:rsidR="00F43A07" w:rsidRDefault="00F43A07">
      <w:pPr>
        <w:jc w:val="left"/>
      </w:pPr>
    </w:p>
    <w:p w:rsidR="00F43A07" w:rsidRDefault="00F43A07">
      <w:pPr>
        <w:jc w:val="left"/>
      </w:pPr>
    </w:p>
    <w:p w:rsidR="00F43A07" w:rsidRDefault="00F43A07">
      <w:pPr>
        <w:jc w:val="left"/>
      </w:pPr>
    </w:p>
    <w:p w:rsidR="00F43A07" w:rsidRDefault="009D2794">
      <w:pPr>
        <w:jc w:val="center"/>
      </w:pPr>
      <w:r>
        <w:rPr>
          <w:rFonts w:ascii="黑体" w:eastAsia="黑体" w:hAnsi="黑体" w:hint="eastAsia"/>
          <w:sz w:val="30"/>
          <w:szCs w:val="30"/>
        </w:rPr>
        <w:lastRenderedPageBreak/>
        <w:t>《苏州大学绩效工资实施办法》(讨论稿)</w:t>
      </w:r>
    </w:p>
    <w:tbl>
      <w:tblPr>
        <w:tblStyle w:val="a9"/>
        <w:tblW w:w="9351" w:type="dxa"/>
        <w:jc w:val="center"/>
        <w:tblLayout w:type="fixed"/>
        <w:tblLook w:val="04A0" w:firstRow="1" w:lastRow="0" w:firstColumn="1" w:lastColumn="0" w:noHBand="0" w:noVBand="1"/>
      </w:tblPr>
      <w:tblGrid>
        <w:gridCol w:w="1413"/>
        <w:gridCol w:w="7938"/>
      </w:tblGrid>
      <w:tr w:rsidR="00F43A07">
        <w:trPr>
          <w:jc w:val="center"/>
        </w:trPr>
        <w:tc>
          <w:tcPr>
            <w:tcW w:w="1413" w:type="dxa"/>
          </w:tcPr>
          <w:p w:rsidR="00F43A07" w:rsidRDefault="009D2794">
            <w:pPr>
              <w:rPr>
                <w:rFonts w:ascii="仿宋_GB2312" w:eastAsia="仿宋_GB2312"/>
                <w:sz w:val="28"/>
                <w:szCs w:val="28"/>
              </w:rPr>
            </w:pPr>
            <w:r>
              <w:rPr>
                <w:rFonts w:ascii="仿宋_GB2312" w:eastAsia="仿宋_GB2312" w:hint="eastAsia"/>
                <w:sz w:val="28"/>
                <w:szCs w:val="28"/>
              </w:rPr>
              <w:t>文件名称</w:t>
            </w:r>
          </w:p>
        </w:tc>
        <w:tc>
          <w:tcPr>
            <w:tcW w:w="7938" w:type="dxa"/>
          </w:tcPr>
          <w:p w:rsidR="00F43A07" w:rsidRDefault="009D2794">
            <w:pPr>
              <w:jc w:val="center"/>
              <w:rPr>
                <w:rFonts w:ascii="仿宋_GB2312" w:eastAsia="仿宋_GB2312"/>
                <w:b/>
                <w:sz w:val="28"/>
                <w:szCs w:val="28"/>
              </w:rPr>
            </w:pPr>
            <w:r>
              <w:rPr>
                <w:rFonts w:ascii="黑体" w:eastAsia="黑体" w:hAnsi="黑体" w:hint="eastAsia"/>
                <w:sz w:val="30"/>
                <w:szCs w:val="30"/>
              </w:rPr>
              <w:t>《苏州大学绩效工资实施办法》(讨论稿)</w:t>
            </w:r>
          </w:p>
        </w:tc>
      </w:tr>
      <w:tr w:rsidR="00F43A07">
        <w:trPr>
          <w:trHeight w:val="12207"/>
          <w:jc w:val="center"/>
        </w:trPr>
        <w:tc>
          <w:tcPr>
            <w:tcW w:w="1413" w:type="dxa"/>
            <w:vAlign w:val="center"/>
          </w:tcPr>
          <w:p w:rsidR="00F43A07" w:rsidRDefault="009D2794">
            <w:pPr>
              <w:rPr>
                <w:rFonts w:ascii="仿宋_GB2312" w:eastAsia="仿宋_GB2312"/>
                <w:sz w:val="28"/>
                <w:szCs w:val="28"/>
              </w:rPr>
            </w:pPr>
            <w:r>
              <w:rPr>
                <w:rFonts w:ascii="仿宋_GB2312" w:eastAsia="仿宋_GB2312" w:hint="eastAsia"/>
                <w:sz w:val="28"/>
                <w:szCs w:val="28"/>
              </w:rPr>
              <w:t>建议</w:t>
            </w:r>
            <w:r>
              <w:rPr>
                <w:rFonts w:ascii="仿宋_GB2312" w:eastAsia="仿宋_GB2312"/>
                <w:sz w:val="28"/>
                <w:szCs w:val="28"/>
              </w:rPr>
              <w:t>意见</w:t>
            </w:r>
          </w:p>
        </w:tc>
        <w:tc>
          <w:tcPr>
            <w:tcW w:w="7938" w:type="dxa"/>
          </w:tcPr>
          <w:p w:rsidR="00F43A07" w:rsidRDefault="00F43A07">
            <w:pPr>
              <w:rPr>
                <w:rFonts w:ascii="仿宋_GB2312" w:eastAsia="仿宋_GB2312"/>
                <w:sz w:val="28"/>
                <w:szCs w:val="28"/>
              </w:rPr>
            </w:pPr>
          </w:p>
        </w:tc>
      </w:tr>
    </w:tbl>
    <w:p w:rsidR="00F43A07" w:rsidRDefault="00F43A07"/>
    <w:sectPr w:rsidR="00F43A07">
      <w:pgSz w:w="11906" w:h="16838"/>
      <w:pgMar w:top="1418" w:right="1814" w:bottom="1418" w:left="181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18" w:rsidRDefault="00B76118">
      <w:r>
        <w:separator/>
      </w:r>
    </w:p>
  </w:endnote>
  <w:endnote w:type="continuationSeparator" w:id="0">
    <w:p w:rsidR="00B76118" w:rsidRDefault="00B7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40298"/>
    </w:sdtPr>
    <w:sdtEndPr/>
    <w:sdtContent>
      <w:p w:rsidR="00F43A07" w:rsidRDefault="009D2794">
        <w:pPr>
          <w:pStyle w:val="a6"/>
          <w:jc w:val="center"/>
        </w:pPr>
        <w:r>
          <w:fldChar w:fldCharType="begin"/>
        </w:r>
        <w:r>
          <w:instrText>PAGE   \* MERGEFORMAT</w:instrText>
        </w:r>
        <w:r>
          <w:fldChar w:fldCharType="separate"/>
        </w:r>
        <w:r w:rsidR="00357BE0" w:rsidRPr="00357BE0">
          <w:rPr>
            <w:noProof/>
            <w:lang w:val="zh-CN"/>
          </w:rPr>
          <w:t>5</w:t>
        </w:r>
        <w:r>
          <w:fldChar w:fldCharType="end"/>
        </w:r>
      </w:p>
    </w:sdtContent>
  </w:sdt>
  <w:p w:rsidR="00F43A07" w:rsidRDefault="00F43A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18" w:rsidRDefault="00B76118">
      <w:r>
        <w:separator/>
      </w:r>
    </w:p>
  </w:footnote>
  <w:footnote w:type="continuationSeparator" w:id="0">
    <w:p w:rsidR="00B76118" w:rsidRDefault="00B7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4B3C"/>
    <w:rsid w:val="0000379C"/>
    <w:rsid w:val="000579E6"/>
    <w:rsid w:val="00062682"/>
    <w:rsid w:val="00083B6D"/>
    <w:rsid w:val="000B5381"/>
    <w:rsid w:val="000D43AE"/>
    <w:rsid w:val="000F0EBC"/>
    <w:rsid w:val="000F1C1A"/>
    <w:rsid w:val="000F7CF8"/>
    <w:rsid w:val="001027C1"/>
    <w:rsid w:val="00106266"/>
    <w:rsid w:val="00122B1D"/>
    <w:rsid w:val="0012708C"/>
    <w:rsid w:val="00131930"/>
    <w:rsid w:val="001579DD"/>
    <w:rsid w:val="00172708"/>
    <w:rsid w:val="0019465C"/>
    <w:rsid w:val="001B7033"/>
    <w:rsid w:val="001C7C7D"/>
    <w:rsid w:val="001D0F94"/>
    <w:rsid w:val="001D4C53"/>
    <w:rsid w:val="001E15F0"/>
    <w:rsid w:val="001E7A69"/>
    <w:rsid w:val="001F1D80"/>
    <w:rsid w:val="00202AEE"/>
    <w:rsid w:val="00205F1D"/>
    <w:rsid w:val="00220A1D"/>
    <w:rsid w:val="002260AE"/>
    <w:rsid w:val="002539B3"/>
    <w:rsid w:val="002877EB"/>
    <w:rsid w:val="002B175E"/>
    <w:rsid w:val="002B4639"/>
    <w:rsid w:val="002D0F27"/>
    <w:rsid w:val="002D6082"/>
    <w:rsid w:val="002E3906"/>
    <w:rsid w:val="002F0E5D"/>
    <w:rsid w:val="002F5D7A"/>
    <w:rsid w:val="00302706"/>
    <w:rsid w:val="00310389"/>
    <w:rsid w:val="00310A4E"/>
    <w:rsid w:val="0031249F"/>
    <w:rsid w:val="00317D5E"/>
    <w:rsid w:val="00331330"/>
    <w:rsid w:val="0033139E"/>
    <w:rsid w:val="00342613"/>
    <w:rsid w:val="00351D63"/>
    <w:rsid w:val="00357BE0"/>
    <w:rsid w:val="00362C42"/>
    <w:rsid w:val="003632D9"/>
    <w:rsid w:val="00377DB2"/>
    <w:rsid w:val="00386E9E"/>
    <w:rsid w:val="00391C37"/>
    <w:rsid w:val="00397940"/>
    <w:rsid w:val="00397F5D"/>
    <w:rsid w:val="003A3785"/>
    <w:rsid w:val="003A46F8"/>
    <w:rsid w:val="003A55D1"/>
    <w:rsid w:val="003A7428"/>
    <w:rsid w:val="003B252D"/>
    <w:rsid w:val="003B6836"/>
    <w:rsid w:val="003B6A85"/>
    <w:rsid w:val="003C1997"/>
    <w:rsid w:val="003C6944"/>
    <w:rsid w:val="003D3FEA"/>
    <w:rsid w:val="003E5C92"/>
    <w:rsid w:val="00400228"/>
    <w:rsid w:val="00421C26"/>
    <w:rsid w:val="00422941"/>
    <w:rsid w:val="0042563D"/>
    <w:rsid w:val="00443271"/>
    <w:rsid w:val="00446B84"/>
    <w:rsid w:val="00447DA4"/>
    <w:rsid w:val="004505FC"/>
    <w:rsid w:val="004658C6"/>
    <w:rsid w:val="00466FDE"/>
    <w:rsid w:val="00474EC1"/>
    <w:rsid w:val="0047580C"/>
    <w:rsid w:val="00477A66"/>
    <w:rsid w:val="00481012"/>
    <w:rsid w:val="004858C5"/>
    <w:rsid w:val="0048691E"/>
    <w:rsid w:val="004872B3"/>
    <w:rsid w:val="0049518D"/>
    <w:rsid w:val="004A09EC"/>
    <w:rsid w:val="004A3396"/>
    <w:rsid w:val="004B204A"/>
    <w:rsid w:val="004D41DE"/>
    <w:rsid w:val="005030C8"/>
    <w:rsid w:val="00525F69"/>
    <w:rsid w:val="00527B39"/>
    <w:rsid w:val="005567EA"/>
    <w:rsid w:val="00561486"/>
    <w:rsid w:val="00563358"/>
    <w:rsid w:val="00572814"/>
    <w:rsid w:val="005832F3"/>
    <w:rsid w:val="00584027"/>
    <w:rsid w:val="00584624"/>
    <w:rsid w:val="00590D41"/>
    <w:rsid w:val="005A2ABB"/>
    <w:rsid w:val="005A4B3C"/>
    <w:rsid w:val="005B1451"/>
    <w:rsid w:val="005B229A"/>
    <w:rsid w:val="005E7316"/>
    <w:rsid w:val="00654851"/>
    <w:rsid w:val="006665A9"/>
    <w:rsid w:val="006723FC"/>
    <w:rsid w:val="0067315B"/>
    <w:rsid w:val="00692B36"/>
    <w:rsid w:val="006C2501"/>
    <w:rsid w:val="006C4A76"/>
    <w:rsid w:val="006D5C46"/>
    <w:rsid w:val="006E0836"/>
    <w:rsid w:val="006E3412"/>
    <w:rsid w:val="006E6FA0"/>
    <w:rsid w:val="006F0268"/>
    <w:rsid w:val="006F1834"/>
    <w:rsid w:val="006F4104"/>
    <w:rsid w:val="00703C6C"/>
    <w:rsid w:val="00707B02"/>
    <w:rsid w:val="007179D0"/>
    <w:rsid w:val="00741F78"/>
    <w:rsid w:val="007439E5"/>
    <w:rsid w:val="00764DA6"/>
    <w:rsid w:val="00767983"/>
    <w:rsid w:val="007856CF"/>
    <w:rsid w:val="00797B29"/>
    <w:rsid w:val="007A61F1"/>
    <w:rsid w:val="007D159C"/>
    <w:rsid w:val="007D2BA1"/>
    <w:rsid w:val="007F22B2"/>
    <w:rsid w:val="008003AB"/>
    <w:rsid w:val="0080657A"/>
    <w:rsid w:val="00840464"/>
    <w:rsid w:val="00845722"/>
    <w:rsid w:val="00845775"/>
    <w:rsid w:val="008512B5"/>
    <w:rsid w:val="00854A3A"/>
    <w:rsid w:val="00865180"/>
    <w:rsid w:val="00884792"/>
    <w:rsid w:val="00890029"/>
    <w:rsid w:val="00892A23"/>
    <w:rsid w:val="008B318B"/>
    <w:rsid w:val="008C6D61"/>
    <w:rsid w:val="008D1C9B"/>
    <w:rsid w:val="008E3E61"/>
    <w:rsid w:val="008E774F"/>
    <w:rsid w:val="008F28D0"/>
    <w:rsid w:val="00901293"/>
    <w:rsid w:val="009138A6"/>
    <w:rsid w:val="00913C3E"/>
    <w:rsid w:val="00926029"/>
    <w:rsid w:val="00935B0A"/>
    <w:rsid w:val="00936386"/>
    <w:rsid w:val="00940797"/>
    <w:rsid w:val="00941DB9"/>
    <w:rsid w:val="00966A1F"/>
    <w:rsid w:val="009711EF"/>
    <w:rsid w:val="00974887"/>
    <w:rsid w:val="00981AF4"/>
    <w:rsid w:val="009869A2"/>
    <w:rsid w:val="009A01D6"/>
    <w:rsid w:val="009A427D"/>
    <w:rsid w:val="009A5408"/>
    <w:rsid w:val="009B0E1B"/>
    <w:rsid w:val="009B7A6A"/>
    <w:rsid w:val="009C3483"/>
    <w:rsid w:val="009D2794"/>
    <w:rsid w:val="009E0FBF"/>
    <w:rsid w:val="009E165E"/>
    <w:rsid w:val="009F2C27"/>
    <w:rsid w:val="009F6792"/>
    <w:rsid w:val="00A01C98"/>
    <w:rsid w:val="00A03948"/>
    <w:rsid w:val="00A04916"/>
    <w:rsid w:val="00A410B1"/>
    <w:rsid w:val="00A43405"/>
    <w:rsid w:val="00A62C82"/>
    <w:rsid w:val="00A65FF7"/>
    <w:rsid w:val="00A745B6"/>
    <w:rsid w:val="00A75871"/>
    <w:rsid w:val="00A773C5"/>
    <w:rsid w:val="00AB0178"/>
    <w:rsid w:val="00AB7B04"/>
    <w:rsid w:val="00AB7E66"/>
    <w:rsid w:val="00AC2078"/>
    <w:rsid w:val="00AC32A3"/>
    <w:rsid w:val="00AD6897"/>
    <w:rsid w:val="00AF4ED6"/>
    <w:rsid w:val="00AF5DAD"/>
    <w:rsid w:val="00AF7F0D"/>
    <w:rsid w:val="00B0301C"/>
    <w:rsid w:val="00B065BE"/>
    <w:rsid w:val="00B06646"/>
    <w:rsid w:val="00B15129"/>
    <w:rsid w:val="00B26B68"/>
    <w:rsid w:val="00B418B3"/>
    <w:rsid w:val="00B44E1D"/>
    <w:rsid w:val="00B60466"/>
    <w:rsid w:val="00B74DA7"/>
    <w:rsid w:val="00B76118"/>
    <w:rsid w:val="00B829B6"/>
    <w:rsid w:val="00B84586"/>
    <w:rsid w:val="00B949EE"/>
    <w:rsid w:val="00BA033F"/>
    <w:rsid w:val="00BC4AE0"/>
    <w:rsid w:val="00BC6AF6"/>
    <w:rsid w:val="00BD36B6"/>
    <w:rsid w:val="00BD380F"/>
    <w:rsid w:val="00BD72DE"/>
    <w:rsid w:val="00BF5C8D"/>
    <w:rsid w:val="00C03731"/>
    <w:rsid w:val="00C039C7"/>
    <w:rsid w:val="00C0561D"/>
    <w:rsid w:val="00C156B2"/>
    <w:rsid w:val="00C161DB"/>
    <w:rsid w:val="00C401F3"/>
    <w:rsid w:val="00C4470D"/>
    <w:rsid w:val="00C71CDF"/>
    <w:rsid w:val="00C73251"/>
    <w:rsid w:val="00C87147"/>
    <w:rsid w:val="00CB2E67"/>
    <w:rsid w:val="00CD131D"/>
    <w:rsid w:val="00CF3E0B"/>
    <w:rsid w:val="00CF4CB2"/>
    <w:rsid w:val="00D12AF5"/>
    <w:rsid w:val="00D3453F"/>
    <w:rsid w:val="00D45B19"/>
    <w:rsid w:val="00D4680F"/>
    <w:rsid w:val="00D469F4"/>
    <w:rsid w:val="00D56BC4"/>
    <w:rsid w:val="00D601D9"/>
    <w:rsid w:val="00D74532"/>
    <w:rsid w:val="00DB0AB5"/>
    <w:rsid w:val="00DD4F4B"/>
    <w:rsid w:val="00DD573D"/>
    <w:rsid w:val="00DF569B"/>
    <w:rsid w:val="00DF76ED"/>
    <w:rsid w:val="00E033BD"/>
    <w:rsid w:val="00E13C9D"/>
    <w:rsid w:val="00E46232"/>
    <w:rsid w:val="00E47676"/>
    <w:rsid w:val="00E50C69"/>
    <w:rsid w:val="00E6357B"/>
    <w:rsid w:val="00E76001"/>
    <w:rsid w:val="00E9656A"/>
    <w:rsid w:val="00E968F2"/>
    <w:rsid w:val="00EC515E"/>
    <w:rsid w:val="00EC7B56"/>
    <w:rsid w:val="00EF0F82"/>
    <w:rsid w:val="00F05EAB"/>
    <w:rsid w:val="00F21567"/>
    <w:rsid w:val="00F259AE"/>
    <w:rsid w:val="00F3136C"/>
    <w:rsid w:val="00F31F4F"/>
    <w:rsid w:val="00F32FBC"/>
    <w:rsid w:val="00F43A07"/>
    <w:rsid w:val="00F46708"/>
    <w:rsid w:val="00F73A58"/>
    <w:rsid w:val="00F74AFD"/>
    <w:rsid w:val="00F87D7E"/>
    <w:rsid w:val="00F91FF0"/>
    <w:rsid w:val="00FA7EA2"/>
    <w:rsid w:val="00FC1A0C"/>
    <w:rsid w:val="00FC217D"/>
    <w:rsid w:val="00FC792E"/>
    <w:rsid w:val="00FD6F7C"/>
    <w:rsid w:val="00FE2B99"/>
    <w:rsid w:val="00FE6147"/>
    <w:rsid w:val="00FF0604"/>
    <w:rsid w:val="0BDF4D68"/>
    <w:rsid w:val="0F2B44F7"/>
    <w:rsid w:val="146F6AE3"/>
    <w:rsid w:val="51E31723"/>
    <w:rsid w:val="6B100963"/>
    <w:rsid w:val="7DAD0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660BA-2F0A-43FD-8CFD-7D502261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Pr>
      <w:sz w:val="21"/>
      <w:szCs w:val="21"/>
    </w:rPr>
  </w:style>
  <w:style w:type="table" w:styleId="a9">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BE335-3EF4-4DDF-BC7E-FB9615FA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831</Words>
  <Characters>4743</Characters>
  <Application>Microsoft Office Word</Application>
  <DocSecurity>0</DocSecurity>
  <Lines>39</Lines>
  <Paragraphs>11</Paragraphs>
  <ScaleCrop>false</ScaleCrop>
  <Company>Microsoft</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28</cp:revision>
  <cp:lastPrinted>2019-03-18T02:08:00Z</cp:lastPrinted>
  <dcterms:created xsi:type="dcterms:W3CDTF">2018-11-02T05:37:00Z</dcterms:created>
  <dcterms:modified xsi:type="dcterms:W3CDTF">2019-03-18T08:27:00Z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